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6C66" w14:textId="77777777" w:rsidR="003F39B5" w:rsidRPr="006B3029" w:rsidRDefault="003F39B5" w:rsidP="003F39B5">
      <w:pPr>
        <w:ind w:left="720" w:hanging="720"/>
        <w:contextualSpacing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6FAB6EDA" w14:textId="77777777" w:rsidR="003F39B5" w:rsidRPr="006B3029" w:rsidRDefault="003F39B5" w:rsidP="003F39B5">
      <w:pPr>
        <w:ind w:left="720" w:hanging="720"/>
        <w:contextualSpacing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1EC88D52" w14:textId="77777777" w:rsidR="003F39B5" w:rsidRPr="006B3029" w:rsidRDefault="003F39B5" w:rsidP="003F39B5">
      <w:pPr>
        <w:ind w:left="720" w:hanging="720"/>
        <w:contextualSpacing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0EE23A77" w14:textId="77777777" w:rsidR="003F39B5" w:rsidRPr="006B3029" w:rsidRDefault="003F39B5" w:rsidP="003F39B5">
      <w:pPr>
        <w:ind w:left="720" w:hanging="720"/>
        <w:contextualSpacing/>
      </w:pPr>
      <w:r w:rsidRPr="006B3029">
        <w:rPr>
          <w:b/>
          <w:color w:val="000000"/>
          <w:lang w:val="ro-RO"/>
        </w:rPr>
        <w:t>Prof. univ. dr. Markó Bálint</w:t>
      </w:r>
    </w:p>
    <w:p w14:paraId="17E99923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77A48623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7DBAF648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088714E2" w14:textId="77777777" w:rsidR="003F39B5" w:rsidRPr="006B3029" w:rsidRDefault="003F39B5" w:rsidP="003F39B5">
      <w:pPr>
        <w:keepNext/>
        <w:keepLines/>
        <w:ind w:left="720" w:hanging="720"/>
        <w:contextualSpacing/>
        <w:jc w:val="center"/>
      </w:pPr>
      <w:r w:rsidRPr="006B3029">
        <w:rPr>
          <w:b/>
          <w:color w:val="000000"/>
          <w:lang w:val="ro-RO"/>
        </w:rPr>
        <w:t>L I S T A</w:t>
      </w:r>
    </w:p>
    <w:p w14:paraId="4138C4CB" w14:textId="77777777" w:rsidR="003F39B5" w:rsidRPr="006B3029" w:rsidRDefault="003F39B5" w:rsidP="003F39B5">
      <w:pPr>
        <w:ind w:left="720" w:hanging="720"/>
        <w:contextualSpacing/>
        <w:jc w:val="center"/>
      </w:pPr>
      <w:r w:rsidRPr="006B3029">
        <w:rPr>
          <w:b/>
          <w:color w:val="000000"/>
          <w:lang w:val="ro-RO"/>
        </w:rPr>
        <w:t>lucrărilor științifice în domeniul disciplinelor din postul didactic</w:t>
      </w:r>
    </w:p>
    <w:p w14:paraId="39E27D68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40F1DA92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195ADA13" w14:textId="77777777" w:rsidR="003F39B5" w:rsidRPr="006B3029" w:rsidRDefault="003F39B5" w:rsidP="003F39B5">
      <w:pPr>
        <w:numPr>
          <w:ilvl w:val="0"/>
          <w:numId w:val="1"/>
        </w:numPr>
        <w:suppressAutoHyphens/>
        <w:ind w:left="720" w:hanging="720"/>
        <w:contextualSpacing/>
      </w:pPr>
      <w:r w:rsidRPr="006B3029">
        <w:rPr>
          <w:color w:val="000000"/>
          <w:lang w:val="ro-RO"/>
        </w:rPr>
        <w:t xml:space="preserve"> </w:t>
      </w:r>
      <w:r w:rsidRPr="006B3029">
        <w:rPr>
          <w:b/>
          <w:color w:val="000000"/>
          <w:lang w:val="ro-RO"/>
        </w:rPr>
        <w:t xml:space="preserve">Teza de doctorat </w:t>
      </w:r>
    </w:p>
    <w:p w14:paraId="4D6CC5DF" w14:textId="77777777" w:rsidR="003F39B5" w:rsidRPr="006B3029" w:rsidRDefault="003F39B5" w:rsidP="003F39B5">
      <w:pPr>
        <w:ind w:left="720" w:hanging="720"/>
        <w:contextualSpacing/>
        <w:jc w:val="both"/>
      </w:pPr>
      <w:r w:rsidRPr="006B3029">
        <w:rPr>
          <w:b/>
          <w:color w:val="000000"/>
          <w:lang w:val="ro-RO"/>
        </w:rPr>
        <w:t>Markó, B.</w:t>
      </w:r>
      <w:r w:rsidRPr="006B3029">
        <w:rPr>
          <w:color w:val="000000"/>
          <w:lang w:val="ro-RO"/>
        </w:rPr>
        <w:t xml:space="preserve"> (2005): </w:t>
      </w:r>
      <w:r w:rsidRPr="00572220">
        <w:rPr>
          <w:rStyle w:val="fontstyle01"/>
          <w:rFonts w:ascii="Times New Roman" w:hAnsi="Times New Roman" w:cs="Times New Roman"/>
          <w:i/>
          <w:sz w:val="24"/>
          <w:szCs w:val="24"/>
          <w:lang w:val="ro-RO"/>
        </w:rPr>
        <w:t>Plasticitatea strategiei de căutare a hranei la specii de</w:t>
      </w:r>
      <w:r w:rsidRPr="00572220">
        <w:rPr>
          <w:i/>
          <w:color w:val="000000"/>
          <w:lang w:val="ro-RO"/>
        </w:rPr>
        <w:t xml:space="preserve"> </w:t>
      </w:r>
      <w:r w:rsidRPr="00572220">
        <w:rPr>
          <w:rStyle w:val="fontstyle01"/>
          <w:rFonts w:ascii="Times New Roman" w:hAnsi="Times New Roman" w:cs="Times New Roman"/>
          <w:i/>
          <w:sz w:val="24"/>
          <w:szCs w:val="24"/>
          <w:lang w:val="ro-RO"/>
        </w:rPr>
        <w:t>furnici (Hymenoptera: Formicidae) nonteritoriale</w:t>
      </w:r>
      <w:r w:rsidRPr="00572220">
        <w:rPr>
          <w:color w:val="000000"/>
          <w:lang w:val="ro-RO"/>
        </w:rPr>
        <w:t>.</w:t>
      </w:r>
      <w:r w:rsidRPr="006B3029">
        <w:rPr>
          <w:color w:val="000000"/>
          <w:lang w:val="ro-RO"/>
        </w:rPr>
        <w:t xml:space="preserve"> Universitatea din Szeged, Szeged, Ungaria. </w:t>
      </w:r>
    </w:p>
    <w:p w14:paraId="60EFD3FA" w14:textId="77777777" w:rsidR="003F39B5" w:rsidRPr="006B3029" w:rsidRDefault="003F39B5" w:rsidP="003F39B5">
      <w:pPr>
        <w:ind w:left="720" w:hanging="720"/>
        <w:contextualSpacing/>
        <w:jc w:val="both"/>
        <w:rPr>
          <w:rFonts w:eastAsia="Calibri"/>
          <w:color w:val="000000"/>
          <w:lang w:val="ro-RO"/>
        </w:rPr>
      </w:pPr>
    </w:p>
    <w:p w14:paraId="6BA40119" w14:textId="77777777" w:rsidR="003F39B5" w:rsidRPr="006B3029" w:rsidRDefault="003F39B5" w:rsidP="003F39B5">
      <w:pPr>
        <w:numPr>
          <w:ilvl w:val="0"/>
          <w:numId w:val="1"/>
        </w:numPr>
        <w:suppressAutoHyphens/>
        <w:ind w:left="720" w:hanging="720"/>
        <w:contextualSpacing/>
        <w:jc w:val="both"/>
        <w:rPr>
          <w:lang w:val="fr-FR"/>
        </w:rPr>
      </w:pPr>
      <w:r w:rsidRPr="006B3029">
        <w:rPr>
          <w:b/>
          <w:color w:val="000000"/>
          <w:lang w:val="ro-RO"/>
        </w:rPr>
        <w:t>Cărți si capitole în cărți publicate în ultimii 10 ani</w:t>
      </w:r>
    </w:p>
    <w:p w14:paraId="0DCB0FC6" w14:textId="77777777" w:rsidR="003F39B5" w:rsidRPr="006B3029" w:rsidRDefault="003F39B5" w:rsidP="003F39B5">
      <w:pPr>
        <w:ind w:left="720" w:hanging="720"/>
        <w:contextualSpacing/>
        <w:jc w:val="both"/>
        <w:rPr>
          <w:b/>
          <w:color w:val="000000"/>
          <w:lang w:val="ro-RO"/>
        </w:rPr>
      </w:pPr>
    </w:p>
    <w:p w14:paraId="4228E3CA" w14:textId="77777777" w:rsidR="003F39B5" w:rsidRPr="006B3029" w:rsidRDefault="003F39B5" w:rsidP="003F39B5">
      <w:pPr>
        <w:numPr>
          <w:ilvl w:val="0"/>
          <w:numId w:val="1"/>
        </w:numPr>
        <w:suppressAutoHyphens/>
        <w:ind w:left="720" w:hanging="720"/>
        <w:contextualSpacing/>
        <w:jc w:val="both"/>
        <w:rPr>
          <w:lang w:val="fr-FR"/>
        </w:rPr>
      </w:pPr>
      <w:r w:rsidRPr="006B3029">
        <w:rPr>
          <w:b/>
          <w:color w:val="000000"/>
          <w:lang w:val="ro-RO"/>
        </w:rPr>
        <w:t>Lucrări indexate ISI/BDI publicate în ultimii 10 ani</w:t>
      </w:r>
    </w:p>
    <w:p w14:paraId="35B79373" w14:textId="77777777" w:rsidR="003F39B5" w:rsidRPr="006B3029" w:rsidRDefault="003F39B5" w:rsidP="003F39B5">
      <w:pPr>
        <w:pStyle w:val="NormalWeb"/>
        <w:numPr>
          <w:ilvl w:val="0"/>
          <w:numId w:val="2"/>
        </w:numPr>
        <w:spacing w:before="0" w:beforeAutospacing="0" w:after="0" w:afterAutospacing="0"/>
        <w:ind w:hanging="720"/>
        <w:contextualSpacing/>
        <w:rPr>
          <w:lang w:val="en-GB" w:eastAsia="en-GB"/>
        </w:rPr>
      </w:pPr>
      <w:r w:rsidRPr="006B3029">
        <w:t xml:space="preserve">Orbán-Bakk, K., Schultner, E., Heinze, J., </w:t>
      </w:r>
      <w:r w:rsidRPr="006B3029">
        <w:rPr>
          <w:b/>
          <w:bCs/>
        </w:rPr>
        <w:t>Markó, B</w:t>
      </w:r>
      <w:r w:rsidRPr="006B3029">
        <w:t xml:space="preserve">., &amp; </w:t>
      </w:r>
      <w:proofErr w:type="spellStart"/>
      <w:r w:rsidRPr="006B3029">
        <w:t>Csata</w:t>
      </w:r>
      <w:proofErr w:type="spellEnd"/>
      <w:r w:rsidRPr="006B3029">
        <w:t xml:space="preserve">, E. (2025). Immune response varies among members of a fungus-infected ant society. </w:t>
      </w:r>
      <w:r w:rsidRPr="006B3029">
        <w:rPr>
          <w:rStyle w:val="Emphasis"/>
        </w:rPr>
        <w:t>Journal of Invertebrate Pathology</w:t>
      </w:r>
      <w:r w:rsidRPr="006B3029">
        <w:t>, 108432.</w:t>
      </w:r>
    </w:p>
    <w:p w14:paraId="5EA07F2A" w14:textId="77777777" w:rsidR="003F39B5" w:rsidRPr="006B3029" w:rsidRDefault="003F39B5" w:rsidP="003F39B5">
      <w:pPr>
        <w:pStyle w:val="NormalWeb"/>
        <w:numPr>
          <w:ilvl w:val="0"/>
          <w:numId w:val="2"/>
        </w:numPr>
        <w:spacing w:before="0" w:beforeAutospacing="0" w:after="0" w:afterAutospacing="0"/>
        <w:ind w:hanging="720"/>
        <w:contextualSpacing/>
      </w:pPr>
      <w:proofErr w:type="spellStart"/>
      <w:r w:rsidRPr="006B3029">
        <w:t>Lachaud</w:t>
      </w:r>
      <w:proofErr w:type="spellEnd"/>
      <w:r w:rsidRPr="006B3029">
        <w:t xml:space="preserve">, J. P., </w:t>
      </w:r>
      <w:r w:rsidRPr="006B3029">
        <w:rPr>
          <w:b/>
          <w:bCs/>
        </w:rPr>
        <w:t>Markó, B.</w:t>
      </w:r>
      <w:r w:rsidRPr="006B3029">
        <w:t xml:space="preserve">, &amp; Pérez-Lachaud, G. (2025). Special issue: The overlooked biodiversity of ant associates. </w:t>
      </w:r>
      <w:proofErr w:type="spellStart"/>
      <w:r w:rsidRPr="006B3029">
        <w:rPr>
          <w:rStyle w:val="Emphasis"/>
        </w:rPr>
        <w:t>Insectes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Sociaux</w:t>
      </w:r>
      <w:proofErr w:type="spellEnd"/>
      <w:r w:rsidRPr="006B3029">
        <w:t>, 1–3.</w:t>
      </w:r>
    </w:p>
    <w:p w14:paraId="4E3B46AC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sz w:val="24"/>
        </w:rPr>
      </w:pPr>
      <w:proofErr w:type="spellStart"/>
      <w:r w:rsidRPr="006B3029">
        <w:rPr>
          <w:sz w:val="24"/>
        </w:rPr>
        <w:t>Maák</w:t>
      </w:r>
      <w:proofErr w:type="spellEnd"/>
      <w:r w:rsidRPr="006B3029">
        <w:rPr>
          <w:sz w:val="24"/>
        </w:rPr>
        <w:t xml:space="preserve"> I., </w:t>
      </w:r>
      <w:r w:rsidRPr="006B3029">
        <w:rPr>
          <w:b/>
          <w:bCs/>
          <w:sz w:val="24"/>
        </w:rPr>
        <w:t>Markó B.</w:t>
      </w:r>
      <w:r w:rsidRPr="006B3029">
        <w:rPr>
          <w:sz w:val="24"/>
        </w:rPr>
        <w:t xml:space="preserve">, Trigos-Peral G., Erős K., Babik H., </w:t>
      </w:r>
      <w:proofErr w:type="spellStart"/>
      <w:r w:rsidRPr="006B3029">
        <w:rPr>
          <w:sz w:val="24"/>
        </w:rPr>
        <w:t>Ślipiński</w:t>
      </w:r>
      <w:proofErr w:type="spellEnd"/>
      <w:r w:rsidRPr="006B3029">
        <w:rPr>
          <w:sz w:val="24"/>
        </w:rPr>
        <w:t xml:space="preserve"> P., Czechowski W. (2024): Playing with the dead: the corpses of dominant territorials inhibit the activity of subordinate ants (Hymenoptera: Formicidae). </w:t>
      </w:r>
      <w:r w:rsidRPr="006B3029">
        <w:rPr>
          <w:i/>
          <w:iCs/>
          <w:sz w:val="24"/>
        </w:rPr>
        <w:t>Polish Journal of Ecology</w:t>
      </w:r>
      <w:r w:rsidRPr="006B3029">
        <w:rPr>
          <w:sz w:val="24"/>
        </w:rPr>
        <w:t xml:space="preserve"> 72(1–2): 35–44, </w:t>
      </w:r>
      <w:hyperlink r:id="rId5" w:history="1">
        <w:r w:rsidRPr="006B3029">
          <w:rPr>
            <w:rStyle w:val="Hyperlink"/>
            <w:sz w:val="24"/>
          </w:rPr>
          <w:t>https://doi.org/10.3161/15052249PJE2024.72.1.003</w:t>
        </w:r>
      </w:hyperlink>
      <w:r w:rsidRPr="006B3029">
        <w:rPr>
          <w:sz w:val="24"/>
        </w:rPr>
        <w:t xml:space="preserve">. </w:t>
      </w:r>
      <w:r w:rsidRPr="006B3029">
        <w:rPr>
          <w:b/>
          <w:bCs/>
          <w:sz w:val="24"/>
        </w:rPr>
        <w:t>IF: 0.4</w:t>
      </w:r>
      <w:r w:rsidRPr="006B3029">
        <w:rPr>
          <w:sz w:val="24"/>
        </w:rPr>
        <w:t xml:space="preserve"> (</w:t>
      </w:r>
      <w:r w:rsidRPr="006B3029">
        <w:rPr>
          <w:i/>
          <w:iCs/>
          <w:sz w:val="24"/>
        </w:rPr>
        <w:t>2023</w:t>
      </w:r>
      <w:r w:rsidRPr="006B3029">
        <w:rPr>
          <w:sz w:val="24"/>
        </w:rPr>
        <w:t xml:space="preserve">) </w:t>
      </w:r>
    </w:p>
    <w:p w14:paraId="53131B36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iCs/>
          <w:sz w:val="24"/>
        </w:rPr>
      </w:pPr>
      <w:r w:rsidRPr="006B3029">
        <w:rPr>
          <w:sz w:val="24"/>
        </w:rPr>
        <w:t xml:space="preserve">Orbán-Bakk K., Witek M., </w:t>
      </w:r>
      <w:proofErr w:type="spellStart"/>
      <w:r w:rsidRPr="006B3029">
        <w:rPr>
          <w:sz w:val="24"/>
        </w:rPr>
        <w:t>Dubiec</w:t>
      </w:r>
      <w:proofErr w:type="spellEnd"/>
      <w:r w:rsidRPr="006B3029">
        <w:rPr>
          <w:sz w:val="24"/>
        </w:rPr>
        <w:t xml:space="preserve"> A., Heinze J., </w:t>
      </w:r>
      <w:r w:rsidRPr="006B3029">
        <w:rPr>
          <w:b/>
          <w:bCs/>
          <w:sz w:val="24"/>
        </w:rPr>
        <w:t>Markó B.</w:t>
      </w:r>
      <w:r w:rsidRPr="006B3029">
        <w:rPr>
          <w:sz w:val="24"/>
        </w:rPr>
        <w:t>,</w:t>
      </w:r>
      <w:r w:rsidRPr="006B3029">
        <w:rPr>
          <w:b/>
          <w:sz w:val="24"/>
        </w:rPr>
        <w:t xml:space="preserve"> </w:t>
      </w:r>
      <w:proofErr w:type="spellStart"/>
      <w:r w:rsidRPr="006B3029">
        <w:rPr>
          <w:sz w:val="24"/>
        </w:rPr>
        <w:t>Csata</w:t>
      </w:r>
      <w:proofErr w:type="spellEnd"/>
      <w:r w:rsidRPr="006B3029">
        <w:rPr>
          <w:sz w:val="24"/>
        </w:rPr>
        <w:t xml:space="preserve"> E. (2024): Infection with a non-lethal fungal parasite is associated with increased immune investment in the ant </w:t>
      </w:r>
      <w:r w:rsidRPr="006B3029">
        <w:rPr>
          <w:i/>
          <w:sz w:val="24"/>
        </w:rPr>
        <w:t xml:space="preserve">Myrmica </w:t>
      </w:r>
      <w:proofErr w:type="spellStart"/>
      <w:r w:rsidRPr="006B3029">
        <w:rPr>
          <w:i/>
          <w:sz w:val="24"/>
        </w:rPr>
        <w:t>scabrinodis</w:t>
      </w:r>
      <w:proofErr w:type="spellEnd"/>
      <w:r w:rsidRPr="006B3029">
        <w:rPr>
          <w:i/>
          <w:sz w:val="24"/>
        </w:rPr>
        <w:t xml:space="preserve">. Journal of Invertebrate Pathology </w:t>
      </w:r>
      <w:r w:rsidRPr="006B3029">
        <w:rPr>
          <w:iCs/>
          <w:sz w:val="24"/>
        </w:rPr>
        <w:t xml:space="preserve">202: 108027, pp. 1-7, </w:t>
      </w:r>
      <w:r w:rsidRPr="006B3029">
        <w:rPr>
          <w:rFonts w:eastAsia="Lucida Sans Unicode"/>
          <w:color w:val="2196D1"/>
          <w:kern w:val="3"/>
          <w:sz w:val="24"/>
          <w:lang w:eastAsia="zh-CN" w:bidi="hi-IN"/>
        </w:rPr>
        <w:t>https://doi.org/10.1016/j.jip.2023.108027</w:t>
      </w:r>
      <w:r w:rsidRPr="006B3029">
        <w:rPr>
          <w:iCs/>
          <w:sz w:val="24"/>
        </w:rPr>
        <w:t xml:space="preserve">. </w:t>
      </w:r>
      <w:r w:rsidRPr="006B3029">
        <w:rPr>
          <w:b/>
          <w:bCs/>
          <w:iCs/>
          <w:sz w:val="24"/>
        </w:rPr>
        <w:t>IF: 3.6</w:t>
      </w:r>
      <w:r w:rsidRPr="006B3029">
        <w:rPr>
          <w:iCs/>
          <w:sz w:val="24"/>
        </w:rPr>
        <w:t xml:space="preserve"> (</w:t>
      </w:r>
      <w:r w:rsidRPr="006B3029">
        <w:rPr>
          <w:i/>
          <w:sz w:val="24"/>
        </w:rPr>
        <w:t>2023</w:t>
      </w:r>
      <w:r w:rsidRPr="006B3029">
        <w:rPr>
          <w:iCs/>
          <w:sz w:val="24"/>
        </w:rPr>
        <w:t>).</w:t>
      </w:r>
    </w:p>
    <w:p w14:paraId="1F07C195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color w:val="000000"/>
          <w:sz w:val="24"/>
        </w:rPr>
      </w:pPr>
      <w:r w:rsidRPr="006B3029">
        <w:rPr>
          <w:sz w:val="24"/>
        </w:rPr>
        <w:t xml:space="preserve">Orbán-Bakk K., </w:t>
      </w:r>
      <w:proofErr w:type="spellStart"/>
      <w:r w:rsidRPr="006B3029">
        <w:rPr>
          <w:sz w:val="24"/>
        </w:rPr>
        <w:t>Csata</w:t>
      </w:r>
      <w:proofErr w:type="spellEnd"/>
      <w:r w:rsidRPr="006B3029">
        <w:rPr>
          <w:sz w:val="24"/>
        </w:rPr>
        <w:t xml:space="preserve"> E., </w:t>
      </w:r>
      <w:r w:rsidRPr="006B3029">
        <w:rPr>
          <w:b/>
          <w:bCs/>
          <w:sz w:val="24"/>
        </w:rPr>
        <w:t>Markó B.</w:t>
      </w:r>
      <w:r w:rsidRPr="006B3029">
        <w:rPr>
          <w:sz w:val="24"/>
        </w:rPr>
        <w:t xml:space="preserve">, Kósa F. (2023): Phylogenetic analyses of the proteins involved in encapsulation </w:t>
      </w:r>
      <w:proofErr w:type="spellStart"/>
      <w:r w:rsidRPr="006B3029">
        <w:rPr>
          <w:sz w:val="24"/>
        </w:rPr>
        <w:t>signaling</w:t>
      </w:r>
      <w:proofErr w:type="spellEnd"/>
      <w:r w:rsidRPr="006B3029">
        <w:rPr>
          <w:sz w:val="24"/>
        </w:rPr>
        <w:t xml:space="preserve"> pathways in ants. </w:t>
      </w:r>
      <w:r w:rsidRPr="006B3029">
        <w:rPr>
          <w:i/>
          <w:iCs/>
          <w:sz w:val="24"/>
        </w:rPr>
        <w:t xml:space="preserve">Studia Universitatis Babeș-Bolyai </w:t>
      </w:r>
      <w:proofErr w:type="spellStart"/>
      <w:r w:rsidRPr="006B3029">
        <w:rPr>
          <w:i/>
          <w:iCs/>
          <w:sz w:val="24"/>
        </w:rPr>
        <w:t>Biologia</w:t>
      </w:r>
      <w:proofErr w:type="spellEnd"/>
      <w:r w:rsidRPr="006B3029">
        <w:rPr>
          <w:sz w:val="24"/>
        </w:rPr>
        <w:t xml:space="preserve"> 68(1): 67–101.</w:t>
      </w:r>
    </w:p>
    <w:p w14:paraId="079A383D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sz w:val="24"/>
        </w:rPr>
      </w:pPr>
      <w:proofErr w:type="spellStart"/>
      <w:r w:rsidRPr="006B3029">
        <w:rPr>
          <w:sz w:val="24"/>
        </w:rPr>
        <w:t>Csata</w:t>
      </w:r>
      <w:proofErr w:type="spellEnd"/>
      <w:r w:rsidRPr="006B3029">
        <w:rPr>
          <w:sz w:val="24"/>
        </w:rPr>
        <w:t xml:space="preserve"> E., </w:t>
      </w:r>
      <w:proofErr w:type="spellStart"/>
      <w:r w:rsidRPr="006B3029">
        <w:rPr>
          <w:sz w:val="24"/>
        </w:rPr>
        <w:t>Casacci</w:t>
      </w:r>
      <w:proofErr w:type="spellEnd"/>
      <w:r w:rsidRPr="006B3029">
        <w:rPr>
          <w:sz w:val="24"/>
        </w:rPr>
        <w:t xml:space="preserve"> L.P., Ruther J., </w:t>
      </w:r>
      <w:proofErr w:type="spellStart"/>
      <w:r w:rsidRPr="006B3029">
        <w:rPr>
          <w:sz w:val="24"/>
        </w:rPr>
        <w:t>Bernadou</w:t>
      </w:r>
      <w:proofErr w:type="spellEnd"/>
      <w:r w:rsidRPr="006B3029">
        <w:rPr>
          <w:sz w:val="24"/>
        </w:rPr>
        <w:t xml:space="preserve"> A., Heinze J., </w:t>
      </w:r>
      <w:r w:rsidRPr="006B3029">
        <w:rPr>
          <w:b/>
          <w:bCs/>
          <w:sz w:val="24"/>
        </w:rPr>
        <w:t>Markó B.</w:t>
      </w:r>
      <w:r w:rsidRPr="006B3029">
        <w:rPr>
          <w:sz w:val="24"/>
          <w:shd w:val="clear" w:color="auto" w:fill="FFFFFF"/>
        </w:rPr>
        <w:t xml:space="preserve"> (2023): Non-lethal fungal infection could reduce aggression towards strangers in ants</w:t>
      </w:r>
      <w:r w:rsidRPr="006B3029">
        <w:rPr>
          <w:sz w:val="24"/>
        </w:rPr>
        <w:t xml:space="preserve">. </w:t>
      </w:r>
      <w:r w:rsidRPr="006B3029">
        <w:rPr>
          <w:i/>
          <w:iCs/>
          <w:sz w:val="24"/>
        </w:rPr>
        <w:t>Communications Biology</w:t>
      </w:r>
      <w:r w:rsidRPr="006B3029">
        <w:rPr>
          <w:sz w:val="24"/>
        </w:rPr>
        <w:t xml:space="preserve"> 6 (1), 183, </w:t>
      </w:r>
      <w:hyperlink r:id="rId6" w:history="1">
        <w:r w:rsidRPr="006B3029">
          <w:rPr>
            <w:rStyle w:val="Hyperlink"/>
            <w:sz w:val="24"/>
            <w:shd w:val="clear" w:color="auto" w:fill="FFFFFF"/>
          </w:rPr>
          <w:t>https://doi.org/10.1038/s42003-023-04541-7</w:t>
        </w:r>
      </w:hyperlink>
      <w:r w:rsidRPr="006B3029">
        <w:rPr>
          <w:sz w:val="24"/>
        </w:rPr>
        <w:t>,</w:t>
      </w:r>
      <w:r w:rsidRPr="006B3029">
        <w:rPr>
          <w:b/>
          <w:bCs/>
          <w:sz w:val="24"/>
        </w:rPr>
        <w:t xml:space="preserve"> IF: 5.2</w:t>
      </w:r>
      <w:r w:rsidRPr="006B3029">
        <w:rPr>
          <w:sz w:val="24"/>
        </w:rPr>
        <w:t>.</w:t>
      </w:r>
    </w:p>
    <w:p w14:paraId="426C3E19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rStyle w:val="fontstyle01"/>
          <w:sz w:val="24"/>
        </w:rPr>
      </w:pPr>
      <w:r w:rsidRPr="006B3029">
        <w:rPr>
          <w:sz w:val="24"/>
        </w:rPr>
        <w:t>Orbán-Bakk K., Marczin</w:t>
      </w:r>
      <w:r w:rsidRPr="006B3029">
        <w:rPr>
          <w:sz w:val="24"/>
          <w:vertAlign w:val="superscript"/>
        </w:rPr>
        <w:t xml:space="preserve"> </w:t>
      </w:r>
      <w:r w:rsidRPr="006B3029">
        <w:rPr>
          <w:sz w:val="24"/>
        </w:rPr>
        <w:t>M.J., Gál</w:t>
      </w:r>
      <w:r w:rsidRPr="006B3029">
        <w:rPr>
          <w:smallCaps/>
          <w:sz w:val="24"/>
        </w:rPr>
        <w:t xml:space="preserve"> L.</w:t>
      </w:r>
      <w:r w:rsidRPr="006B3029">
        <w:rPr>
          <w:sz w:val="24"/>
        </w:rPr>
        <w:t>, Heinze</w:t>
      </w:r>
      <w:r w:rsidRPr="006B3029">
        <w:rPr>
          <w:sz w:val="24"/>
          <w:vertAlign w:val="superscript"/>
        </w:rPr>
        <w:t xml:space="preserve"> </w:t>
      </w:r>
      <w:r w:rsidRPr="006B3029">
        <w:rPr>
          <w:smallCaps/>
          <w:sz w:val="24"/>
        </w:rPr>
        <w:t xml:space="preserve">J., </w:t>
      </w:r>
      <w:proofErr w:type="spellStart"/>
      <w:r w:rsidRPr="006B3029">
        <w:rPr>
          <w:sz w:val="24"/>
        </w:rPr>
        <w:t>Csata</w:t>
      </w:r>
      <w:proofErr w:type="spellEnd"/>
      <w:r w:rsidRPr="006B3029">
        <w:rPr>
          <w:sz w:val="24"/>
          <w:vertAlign w:val="superscript"/>
        </w:rPr>
        <w:t xml:space="preserve"> </w:t>
      </w:r>
      <w:r w:rsidRPr="006B3029">
        <w:rPr>
          <w:smallCaps/>
          <w:sz w:val="24"/>
        </w:rPr>
        <w:t xml:space="preserve">E., </w:t>
      </w:r>
      <w:r w:rsidRPr="006B3029">
        <w:rPr>
          <w:b/>
          <w:bCs/>
          <w:sz w:val="24"/>
        </w:rPr>
        <w:t>Markó</w:t>
      </w:r>
      <w:r w:rsidRPr="006B3029">
        <w:rPr>
          <w:b/>
          <w:bCs/>
          <w:sz w:val="24"/>
          <w:vertAlign w:val="superscript"/>
        </w:rPr>
        <w:t xml:space="preserve"> </w:t>
      </w:r>
      <w:r w:rsidRPr="006B3029">
        <w:rPr>
          <w:b/>
          <w:bCs/>
          <w:sz w:val="24"/>
        </w:rPr>
        <w:t>B.</w:t>
      </w:r>
      <w:r w:rsidRPr="006B3029">
        <w:rPr>
          <w:bCs/>
          <w:sz w:val="24"/>
        </w:rPr>
        <w:t xml:space="preserve"> (2022):</w:t>
      </w:r>
      <w:r w:rsidRPr="006B3029">
        <w:rPr>
          <w:b/>
          <w:sz w:val="24"/>
        </w:rPr>
        <w:t xml:space="preserve"> </w:t>
      </w:r>
      <w:r w:rsidRPr="006B3029">
        <w:rPr>
          <w:sz w:val="24"/>
        </w:rPr>
        <w:t xml:space="preserve">Under pressure: the effect of long-term fungal infection on the encapsulation response in ants. </w:t>
      </w:r>
      <w:proofErr w:type="spellStart"/>
      <w:r w:rsidRPr="006B3029">
        <w:rPr>
          <w:i/>
          <w:iCs/>
          <w:sz w:val="24"/>
        </w:rPr>
        <w:t>Insectes</w:t>
      </w:r>
      <w:proofErr w:type="spellEnd"/>
      <w:r w:rsidRPr="006B3029">
        <w:rPr>
          <w:i/>
          <w:iCs/>
          <w:sz w:val="24"/>
        </w:rPr>
        <w:t xml:space="preserve"> </w:t>
      </w:r>
      <w:proofErr w:type="spellStart"/>
      <w:r w:rsidRPr="006B3029">
        <w:rPr>
          <w:i/>
          <w:iCs/>
          <w:sz w:val="24"/>
        </w:rPr>
        <w:t>Sociaux</w:t>
      </w:r>
      <w:proofErr w:type="spellEnd"/>
      <w:r w:rsidRPr="006B3029">
        <w:rPr>
          <w:sz w:val="24"/>
        </w:rPr>
        <w:t xml:space="preserve"> 69: 361–367, </w:t>
      </w:r>
      <w:hyperlink r:id="rId7" w:history="1">
        <w:r w:rsidRPr="006B3029">
          <w:rPr>
            <w:rStyle w:val="Hyperlink"/>
            <w:rFonts w:eastAsia="Lucida Sans Unicode"/>
            <w:kern w:val="3"/>
            <w:sz w:val="24"/>
            <w:lang w:eastAsia="zh-CN" w:bidi="hi-IN"/>
          </w:rPr>
          <w:t>https://doi.org/10.1007/s00040-022-00879-z</w:t>
        </w:r>
      </w:hyperlink>
      <w:r w:rsidRPr="006B3029">
        <w:rPr>
          <w:rFonts w:eastAsia="Lucida Sans Unicode"/>
          <w:kern w:val="3"/>
          <w:sz w:val="24"/>
          <w:lang w:eastAsia="zh-CN" w:bidi="hi-IN"/>
        </w:rPr>
        <w:t xml:space="preserve">, </w:t>
      </w:r>
      <w:r w:rsidRPr="006B3029">
        <w:rPr>
          <w:b/>
          <w:bCs/>
          <w:sz w:val="24"/>
        </w:rPr>
        <w:t>IF: 1.3</w:t>
      </w:r>
      <w:r w:rsidRPr="006B3029">
        <w:rPr>
          <w:sz w:val="24"/>
        </w:rPr>
        <w:t>.</w:t>
      </w:r>
    </w:p>
    <w:p w14:paraId="4D9718ED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sz w:val="24"/>
          <w:lang w:val="ro-RO"/>
        </w:rPr>
      </w:pPr>
      <w:r w:rsidRPr="006B3029">
        <w:rPr>
          <w:sz w:val="24"/>
          <w:lang w:val="ro-RO"/>
        </w:rPr>
        <w:t xml:space="preserve">Csősz S., Báthori F., Gallé L., Lőrinczi G., Maák I., Tartally A., Kovács É., Somogyi A.Á., </w:t>
      </w:r>
      <w:r w:rsidRPr="006B3029">
        <w:rPr>
          <w:b/>
          <w:bCs/>
          <w:sz w:val="24"/>
          <w:lang w:val="ro-RO"/>
        </w:rPr>
        <w:t>Markó B.</w:t>
      </w:r>
      <w:r w:rsidRPr="006B3029">
        <w:rPr>
          <w:sz w:val="24"/>
          <w:lang w:val="ro-RO"/>
        </w:rPr>
        <w:t xml:space="preserve"> (2021): The myrmecofauna (Hymenoptera: Formicidae) of Hungary: survey of ant species with an annotated synonymic inventory. </w:t>
      </w:r>
      <w:r w:rsidRPr="006B3029">
        <w:rPr>
          <w:i/>
          <w:iCs/>
          <w:sz w:val="24"/>
        </w:rPr>
        <w:t>Insects</w:t>
      </w:r>
      <w:r w:rsidRPr="006B3029">
        <w:rPr>
          <w:sz w:val="24"/>
        </w:rPr>
        <w:t xml:space="preserve"> 12: 78. https://doi.org/10.3390/insects 12010078. </w:t>
      </w:r>
      <w:r w:rsidRPr="006B3029">
        <w:rPr>
          <w:b/>
          <w:bCs/>
          <w:sz w:val="24"/>
        </w:rPr>
        <w:t>IF:</w:t>
      </w:r>
      <w:r w:rsidRPr="006B3029">
        <w:rPr>
          <w:sz w:val="24"/>
        </w:rPr>
        <w:t xml:space="preserve"> 2.22 (</w:t>
      </w:r>
      <w:r w:rsidRPr="006B3029">
        <w:rPr>
          <w:i/>
          <w:iCs/>
          <w:sz w:val="24"/>
        </w:rPr>
        <w:t>2019</w:t>
      </w:r>
      <w:r w:rsidRPr="006B3029">
        <w:rPr>
          <w:sz w:val="24"/>
        </w:rPr>
        <w:t>)</w:t>
      </w:r>
    </w:p>
    <w:p w14:paraId="38A41FC1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sz w:val="24"/>
          <w:lang w:val="ro-RO"/>
        </w:rPr>
      </w:pPr>
      <w:proofErr w:type="spellStart"/>
      <w:r w:rsidRPr="006B3029">
        <w:rPr>
          <w:rFonts w:eastAsia="Times"/>
          <w:color w:val="000000"/>
          <w:sz w:val="24"/>
          <w:lang w:val="en-US"/>
        </w:rPr>
        <w:t>Csata</w:t>
      </w:r>
      <w:proofErr w:type="spellEnd"/>
      <w:r w:rsidRPr="006B3029">
        <w:rPr>
          <w:rFonts w:eastAsia="Times"/>
          <w:color w:val="000000"/>
          <w:sz w:val="24"/>
          <w:lang w:val="en-US"/>
        </w:rPr>
        <w:t xml:space="preserve"> E., Billen</w:t>
      </w:r>
      <w:r w:rsidRPr="006B3029">
        <w:rPr>
          <w:sz w:val="24"/>
          <w:lang w:val="en-US"/>
        </w:rPr>
        <w:t xml:space="preserve"> J.,</w:t>
      </w:r>
      <w:r w:rsidRPr="006B3029">
        <w:rPr>
          <w:rFonts w:eastAsia="Times"/>
          <w:color w:val="000000"/>
          <w:sz w:val="24"/>
          <w:lang w:val="en-US"/>
        </w:rPr>
        <w:t xml:space="preserve"> Barbu-Tudoran L., </w:t>
      </w:r>
      <w:r w:rsidRPr="006B3029">
        <w:rPr>
          <w:rFonts w:eastAsia="Times"/>
          <w:b/>
          <w:bCs/>
          <w:color w:val="000000"/>
          <w:sz w:val="24"/>
          <w:lang w:val="en-US"/>
        </w:rPr>
        <w:t>Markó B.</w:t>
      </w:r>
      <w:r w:rsidRPr="006B3029">
        <w:rPr>
          <w:rFonts w:eastAsia="Times"/>
          <w:color w:val="000000"/>
          <w:sz w:val="24"/>
          <w:lang w:val="en-US"/>
        </w:rPr>
        <w:t xml:space="preserve"> (2021): Inside Pandora’s box: </w:t>
      </w:r>
      <w:r w:rsidRPr="006B3029">
        <w:rPr>
          <w:rFonts w:eastAsia="Times"/>
          <w:sz w:val="24"/>
          <w:lang w:val="en-US"/>
        </w:rPr>
        <w:t xml:space="preserve">development </w:t>
      </w:r>
      <w:r w:rsidRPr="006B3029">
        <w:rPr>
          <w:rFonts w:eastAsia="Times"/>
          <w:color w:val="000000"/>
          <w:sz w:val="24"/>
          <w:lang w:val="en-US"/>
        </w:rPr>
        <w:t xml:space="preserve">of </w:t>
      </w:r>
      <w:r w:rsidRPr="006B3029">
        <w:rPr>
          <w:rFonts w:eastAsia="Times"/>
          <w:sz w:val="24"/>
          <w:lang w:val="en-US"/>
        </w:rPr>
        <w:t>the</w:t>
      </w:r>
      <w:r w:rsidRPr="006B3029">
        <w:rPr>
          <w:rFonts w:eastAsia="Times"/>
          <w:color w:val="000000"/>
          <w:sz w:val="24"/>
          <w:lang w:val="en-US"/>
        </w:rPr>
        <w:t xml:space="preserve"> lethal </w:t>
      </w:r>
      <w:proofErr w:type="spellStart"/>
      <w:r w:rsidRPr="006B3029">
        <w:rPr>
          <w:rFonts w:eastAsia="Times"/>
          <w:color w:val="000000"/>
          <w:sz w:val="24"/>
          <w:lang w:val="en-US"/>
        </w:rPr>
        <w:t>myrmecopathogenic</w:t>
      </w:r>
      <w:proofErr w:type="spellEnd"/>
      <w:r w:rsidRPr="006B3029">
        <w:rPr>
          <w:rFonts w:eastAsia="Times"/>
          <w:color w:val="000000"/>
          <w:sz w:val="24"/>
          <w:lang w:val="en-US"/>
        </w:rPr>
        <w:t xml:space="preserve"> fungus </w:t>
      </w:r>
      <w:r w:rsidRPr="006B3029">
        <w:rPr>
          <w:rFonts w:eastAsia="Times"/>
          <w:i/>
          <w:color w:val="000000"/>
          <w:sz w:val="24"/>
          <w:lang w:val="en-US"/>
        </w:rPr>
        <w:t xml:space="preserve">Pandora </w:t>
      </w:r>
      <w:proofErr w:type="spellStart"/>
      <w:r w:rsidRPr="006B3029">
        <w:rPr>
          <w:rFonts w:eastAsia="Times"/>
          <w:i/>
          <w:color w:val="000000"/>
          <w:sz w:val="24"/>
          <w:lang w:val="en-US"/>
        </w:rPr>
        <w:t>formicae</w:t>
      </w:r>
      <w:proofErr w:type="spellEnd"/>
      <w:r w:rsidRPr="006B3029">
        <w:rPr>
          <w:rFonts w:eastAsia="Times"/>
          <w:color w:val="000000"/>
          <w:sz w:val="24"/>
          <w:lang w:val="en-US"/>
        </w:rPr>
        <w:t xml:space="preserve"> within its ant host. </w:t>
      </w:r>
      <w:r w:rsidRPr="006B3029">
        <w:rPr>
          <w:rFonts w:eastAsia="Times"/>
          <w:i/>
          <w:iCs/>
          <w:color w:val="000000"/>
          <w:sz w:val="24"/>
          <w:lang w:val="en-US"/>
        </w:rPr>
        <w:t>Fungal Ecology</w:t>
      </w:r>
      <w:r w:rsidRPr="006B3029">
        <w:rPr>
          <w:rFonts w:eastAsia="Times"/>
          <w:color w:val="000000"/>
          <w:sz w:val="24"/>
          <w:lang w:val="en-US"/>
        </w:rPr>
        <w:t xml:space="preserve"> 5</w:t>
      </w:r>
      <w:r w:rsidRPr="006B3029">
        <w:rPr>
          <w:rFonts w:eastAsia="Times"/>
          <w:color w:val="000000"/>
          <w:sz w:val="24"/>
          <w:lang w:val="ro-RO"/>
        </w:rPr>
        <w:t xml:space="preserve">0, </w:t>
      </w:r>
      <w:r w:rsidRPr="006B3029">
        <w:rPr>
          <w:sz w:val="24"/>
        </w:rPr>
        <w:t>https://doi.org/10.1016/j.funeco.2020.101022</w:t>
      </w:r>
      <w:r w:rsidRPr="006B3029">
        <w:rPr>
          <w:rFonts w:eastAsia="Times"/>
          <w:color w:val="000000"/>
          <w:sz w:val="24"/>
          <w:lang w:val="en-US"/>
        </w:rPr>
        <w:t xml:space="preserve">. </w:t>
      </w:r>
      <w:r w:rsidRPr="006B3029">
        <w:rPr>
          <w:rFonts w:eastAsia="Times"/>
          <w:b/>
          <w:bCs/>
          <w:color w:val="000000"/>
          <w:sz w:val="24"/>
          <w:lang w:val="en-US"/>
        </w:rPr>
        <w:t>IF: 2.656</w:t>
      </w:r>
      <w:r w:rsidRPr="006B3029">
        <w:rPr>
          <w:rFonts w:eastAsia="Times"/>
          <w:color w:val="000000"/>
          <w:sz w:val="24"/>
          <w:lang w:val="en-US"/>
        </w:rPr>
        <w:t xml:space="preserve"> (</w:t>
      </w:r>
      <w:r w:rsidRPr="006B3029">
        <w:rPr>
          <w:rFonts w:eastAsia="Times"/>
          <w:i/>
          <w:iCs/>
          <w:color w:val="000000"/>
          <w:sz w:val="24"/>
          <w:lang w:val="en-US"/>
        </w:rPr>
        <w:t>2019</w:t>
      </w:r>
      <w:r w:rsidRPr="006B3029">
        <w:rPr>
          <w:rFonts w:eastAsia="Times"/>
          <w:color w:val="000000"/>
          <w:sz w:val="24"/>
          <w:lang w:val="en-US"/>
        </w:rPr>
        <w:t>)</w:t>
      </w:r>
    </w:p>
    <w:p w14:paraId="0B62F8EC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rPr>
          <w:sz w:val="24"/>
          <w:lang w:val="ro-RO"/>
        </w:rPr>
      </w:pPr>
      <w:r w:rsidRPr="006B3029">
        <w:rPr>
          <w:kern w:val="24"/>
          <w:sz w:val="24"/>
        </w:rPr>
        <w:t>Keresztes</w:t>
      </w:r>
      <w:r w:rsidRPr="006B3029">
        <w:rPr>
          <w:sz w:val="24"/>
          <w:vertAlign w:val="superscript"/>
        </w:rPr>
        <w:t xml:space="preserve"> </w:t>
      </w:r>
      <w:r w:rsidRPr="006B3029">
        <w:rPr>
          <w:kern w:val="24"/>
          <w:sz w:val="24"/>
        </w:rPr>
        <w:t>K.K.,</w:t>
      </w:r>
      <w:r w:rsidRPr="006B3029">
        <w:rPr>
          <w:kern w:val="1"/>
          <w:sz w:val="24"/>
          <w:vertAlign w:val="superscript"/>
        </w:rPr>
        <w:t xml:space="preserve"> </w:t>
      </w:r>
      <w:proofErr w:type="spellStart"/>
      <w:r w:rsidRPr="006B3029">
        <w:rPr>
          <w:kern w:val="24"/>
          <w:sz w:val="24"/>
        </w:rPr>
        <w:t>Csata</w:t>
      </w:r>
      <w:proofErr w:type="spellEnd"/>
      <w:r w:rsidRPr="006B3029">
        <w:rPr>
          <w:sz w:val="24"/>
          <w:vertAlign w:val="superscript"/>
        </w:rPr>
        <w:t xml:space="preserve"> </w:t>
      </w:r>
      <w:r w:rsidRPr="006B3029">
        <w:rPr>
          <w:sz w:val="24"/>
        </w:rPr>
        <w:t>E.</w:t>
      </w:r>
      <w:r w:rsidRPr="006B3029">
        <w:rPr>
          <w:kern w:val="1"/>
          <w:sz w:val="24"/>
        </w:rPr>
        <w:t xml:space="preserve">, </w:t>
      </w:r>
      <w:r w:rsidRPr="006B3029">
        <w:rPr>
          <w:kern w:val="24"/>
          <w:sz w:val="24"/>
        </w:rPr>
        <w:t>Lunka</w:t>
      </w:r>
      <w:r w:rsidRPr="006B3029">
        <w:rPr>
          <w:sz w:val="24"/>
          <w:vertAlign w:val="superscript"/>
        </w:rPr>
        <w:t xml:space="preserve"> </w:t>
      </w:r>
      <w:r w:rsidRPr="006B3029">
        <w:rPr>
          <w:sz w:val="24"/>
        </w:rPr>
        <w:t>T.A.</w:t>
      </w:r>
      <w:r w:rsidRPr="006B3029">
        <w:rPr>
          <w:kern w:val="1"/>
          <w:sz w:val="24"/>
        </w:rPr>
        <w:t xml:space="preserve">, </w:t>
      </w:r>
      <w:r w:rsidRPr="006B3029">
        <w:rPr>
          <w:b/>
          <w:bCs/>
          <w:kern w:val="24"/>
          <w:sz w:val="24"/>
        </w:rPr>
        <w:t>Markó</w:t>
      </w:r>
      <w:r w:rsidRPr="006B3029">
        <w:rPr>
          <w:b/>
          <w:bCs/>
          <w:sz w:val="24"/>
          <w:vertAlign w:val="superscript"/>
        </w:rPr>
        <w:t xml:space="preserve"> </w:t>
      </w:r>
      <w:r w:rsidRPr="006B3029">
        <w:rPr>
          <w:b/>
          <w:bCs/>
          <w:sz w:val="24"/>
        </w:rPr>
        <w:t>B.</w:t>
      </w:r>
      <w:r w:rsidRPr="006B3029">
        <w:rPr>
          <w:sz w:val="24"/>
        </w:rPr>
        <w:t xml:space="preserve"> (2020): Friend or foe? Differential aggression towards neighbours and strangers in the ant </w:t>
      </w:r>
      <w:proofErr w:type="spellStart"/>
      <w:r w:rsidRPr="006B3029">
        <w:rPr>
          <w:i/>
          <w:iCs/>
          <w:sz w:val="24"/>
        </w:rPr>
        <w:t>Liometopum</w:t>
      </w:r>
      <w:proofErr w:type="spellEnd"/>
      <w:r w:rsidRPr="006B3029">
        <w:rPr>
          <w:i/>
          <w:iCs/>
          <w:sz w:val="24"/>
        </w:rPr>
        <w:t xml:space="preserve"> </w:t>
      </w:r>
      <w:proofErr w:type="spellStart"/>
      <w:r w:rsidRPr="006B3029">
        <w:rPr>
          <w:i/>
          <w:iCs/>
          <w:sz w:val="24"/>
        </w:rPr>
        <w:t>microcephalum</w:t>
      </w:r>
      <w:proofErr w:type="spellEnd"/>
      <w:r w:rsidRPr="006B3029">
        <w:rPr>
          <w:sz w:val="24"/>
        </w:rPr>
        <w:t xml:space="preserve"> </w:t>
      </w:r>
      <w:r w:rsidRPr="006B3029">
        <w:rPr>
          <w:sz w:val="24"/>
        </w:rPr>
        <w:lastRenderedPageBreak/>
        <w:t>(Hymenoptera:</w:t>
      </w:r>
      <w:r>
        <w:rPr>
          <w:sz w:val="24"/>
        </w:rPr>
        <w:t xml:space="preserve"> </w:t>
      </w:r>
      <w:r w:rsidRPr="006B3029">
        <w:rPr>
          <w:sz w:val="24"/>
        </w:rPr>
        <w:t xml:space="preserve">Formicidae). </w:t>
      </w:r>
      <w:r w:rsidRPr="006B3029">
        <w:rPr>
          <w:i/>
          <w:iCs/>
          <w:sz w:val="24"/>
        </w:rPr>
        <w:t xml:space="preserve">Entomological Science </w:t>
      </w:r>
      <w:r w:rsidRPr="006B3029">
        <w:rPr>
          <w:sz w:val="24"/>
          <w:lang w:val="ro-RO"/>
        </w:rPr>
        <w:t xml:space="preserve">23(4): 351–358, </w:t>
      </w:r>
      <w:r w:rsidRPr="006B3029">
        <w:rPr>
          <w:rFonts w:eastAsia="Lucida Sans Unicode"/>
          <w:color w:val="000000"/>
          <w:kern w:val="3"/>
          <w:sz w:val="24"/>
          <w:lang w:val="en-US" w:eastAsia="zh-CN" w:bidi="hi-IN"/>
        </w:rPr>
        <w:t>https://doi.org/10.1111/ens.12433</w:t>
      </w:r>
      <w:r w:rsidRPr="006B3029">
        <w:rPr>
          <w:sz w:val="24"/>
        </w:rPr>
        <w:t xml:space="preserve">. </w:t>
      </w:r>
      <w:r w:rsidRPr="006B3029">
        <w:rPr>
          <w:b/>
          <w:bCs/>
          <w:sz w:val="24"/>
        </w:rPr>
        <w:t>IF: 1.074</w:t>
      </w:r>
      <w:r w:rsidRPr="006B3029">
        <w:rPr>
          <w:sz w:val="24"/>
        </w:rPr>
        <w:t xml:space="preserve"> (</w:t>
      </w:r>
      <w:r w:rsidRPr="006B3029">
        <w:rPr>
          <w:i/>
          <w:iCs/>
          <w:sz w:val="24"/>
        </w:rPr>
        <w:t>2019</w:t>
      </w:r>
      <w:r w:rsidRPr="006B3029">
        <w:rPr>
          <w:sz w:val="24"/>
        </w:rPr>
        <w:t>)</w:t>
      </w:r>
    </w:p>
    <w:p w14:paraId="6EF425FC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sz w:val="24"/>
          <w:lang w:val="ro-RO"/>
        </w:rPr>
      </w:pPr>
      <w:r w:rsidRPr="006B3029">
        <w:rPr>
          <w:sz w:val="24"/>
          <w:lang w:val="ro-RO"/>
        </w:rPr>
        <w:t>Maák I., Czekes</w:t>
      </w:r>
      <w:r w:rsidRPr="006B3029">
        <w:rPr>
          <w:sz w:val="24"/>
          <w:vertAlign w:val="superscript"/>
          <w:lang w:val="ro-RO"/>
        </w:rPr>
        <w:t xml:space="preserve"> </w:t>
      </w:r>
      <w:r w:rsidRPr="006B3029">
        <w:rPr>
          <w:sz w:val="24"/>
          <w:lang w:val="ro-RO"/>
        </w:rPr>
        <w:t>Zs., Erős</w:t>
      </w:r>
      <w:r w:rsidRPr="006B3029">
        <w:rPr>
          <w:sz w:val="24"/>
          <w:vertAlign w:val="superscript"/>
          <w:lang w:val="ro-RO"/>
        </w:rPr>
        <w:t xml:space="preserve"> </w:t>
      </w:r>
      <w:r w:rsidRPr="006B3029">
        <w:rPr>
          <w:sz w:val="24"/>
          <w:lang w:val="ro-RO"/>
        </w:rPr>
        <w:t>K., Pálfi</w:t>
      </w:r>
      <w:r w:rsidRPr="006B3029">
        <w:rPr>
          <w:sz w:val="24"/>
          <w:vertAlign w:val="superscript"/>
          <w:lang w:val="ro-RO"/>
        </w:rPr>
        <w:t xml:space="preserve"> </w:t>
      </w:r>
      <w:r w:rsidRPr="006B3029">
        <w:rPr>
          <w:sz w:val="24"/>
          <w:lang w:val="ro-RO"/>
        </w:rPr>
        <w:t xml:space="preserve">Zs., </w:t>
      </w:r>
      <w:r w:rsidRPr="006B3029">
        <w:rPr>
          <w:b/>
          <w:bCs/>
          <w:sz w:val="24"/>
          <w:lang w:val="ro-RO"/>
        </w:rPr>
        <w:t>Markó B.</w:t>
      </w:r>
      <w:r w:rsidRPr="006B3029">
        <w:rPr>
          <w:sz w:val="24"/>
          <w:vertAlign w:val="superscript"/>
          <w:lang w:val="ro-RO"/>
        </w:rPr>
        <w:t xml:space="preserve"> </w:t>
      </w:r>
      <w:r w:rsidRPr="006B3029">
        <w:rPr>
          <w:sz w:val="24"/>
          <w:lang w:val="ro-RO"/>
        </w:rPr>
        <w:t xml:space="preserve">(2020): </w:t>
      </w:r>
      <w:r w:rsidRPr="006B3029">
        <w:rPr>
          <w:sz w:val="24"/>
          <w:lang w:val="en-US"/>
        </w:rPr>
        <w:t xml:space="preserve">Living on the edge: changes in the foraging strategy of a territorial ant species occurring with a rival </w:t>
      </w:r>
      <w:proofErr w:type="spellStart"/>
      <w:r w:rsidRPr="006B3029">
        <w:rPr>
          <w:sz w:val="24"/>
          <w:lang w:val="en-US"/>
        </w:rPr>
        <w:t>supercolony</w:t>
      </w:r>
      <w:proofErr w:type="spellEnd"/>
      <w:r w:rsidRPr="006B3029">
        <w:rPr>
          <w:sz w:val="24"/>
          <w:lang w:val="en-US"/>
        </w:rPr>
        <w:t xml:space="preserve"> – a case study. </w:t>
      </w:r>
      <w:r w:rsidRPr="006B3029">
        <w:rPr>
          <w:i/>
          <w:iCs/>
          <w:sz w:val="24"/>
          <w:lang w:val="en-US"/>
        </w:rPr>
        <w:t>Journal of Insect Behavior</w:t>
      </w:r>
      <w:r w:rsidRPr="006B3029">
        <w:rPr>
          <w:sz w:val="24"/>
          <w:lang w:val="en-US"/>
        </w:rPr>
        <w:t xml:space="preserve"> 33: 56–68. </w:t>
      </w:r>
      <w:r w:rsidRPr="006B3029">
        <w:rPr>
          <w:b/>
          <w:bCs/>
          <w:sz w:val="24"/>
          <w:lang w:val="en-US"/>
        </w:rPr>
        <w:t>IF: 0.991</w:t>
      </w:r>
      <w:r w:rsidRPr="006B3029">
        <w:rPr>
          <w:sz w:val="24"/>
          <w:lang w:val="en-US"/>
        </w:rPr>
        <w:t xml:space="preserve"> (</w:t>
      </w:r>
      <w:r w:rsidRPr="006B3029">
        <w:rPr>
          <w:i/>
          <w:iCs/>
          <w:sz w:val="24"/>
          <w:lang w:val="en-US"/>
        </w:rPr>
        <w:t>2019</w:t>
      </w:r>
      <w:r w:rsidRPr="006B3029">
        <w:rPr>
          <w:sz w:val="24"/>
          <w:lang w:val="en-US"/>
        </w:rPr>
        <w:t>)</w:t>
      </w:r>
    </w:p>
    <w:p w14:paraId="276233DA" w14:textId="77777777" w:rsidR="003F39B5" w:rsidRPr="006B3029" w:rsidRDefault="003F39B5" w:rsidP="003F39B5">
      <w:pPr>
        <w:pStyle w:val="Authornames"/>
        <w:numPr>
          <w:ilvl w:val="0"/>
          <w:numId w:val="2"/>
        </w:numPr>
        <w:spacing w:before="0" w:line="240" w:lineRule="auto"/>
        <w:ind w:hanging="720"/>
        <w:contextualSpacing/>
        <w:jc w:val="both"/>
        <w:rPr>
          <w:sz w:val="24"/>
        </w:rPr>
      </w:pPr>
      <w:r w:rsidRPr="006B3029">
        <w:rPr>
          <w:sz w:val="24"/>
        </w:rPr>
        <w:t xml:space="preserve">Erős K., </w:t>
      </w:r>
      <w:proofErr w:type="spellStart"/>
      <w:r w:rsidRPr="006B3029">
        <w:rPr>
          <w:sz w:val="24"/>
        </w:rPr>
        <w:t>Maák</w:t>
      </w:r>
      <w:proofErr w:type="spellEnd"/>
      <w:r w:rsidRPr="006B3029">
        <w:rPr>
          <w:sz w:val="24"/>
        </w:rPr>
        <w:t xml:space="preserve"> I., </w:t>
      </w:r>
      <w:r w:rsidRPr="006B3029">
        <w:rPr>
          <w:b/>
          <w:bCs/>
          <w:sz w:val="24"/>
        </w:rPr>
        <w:t>Markó B.</w:t>
      </w:r>
      <w:r w:rsidRPr="006B3029">
        <w:rPr>
          <w:sz w:val="24"/>
        </w:rPr>
        <w:t xml:space="preserve">, Babik H., </w:t>
      </w:r>
      <w:proofErr w:type="spellStart"/>
      <w:r w:rsidRPr="006B3029">
        <w:rPr>
          <w:sz w:val="24"/>
        </w:rPr>
        <w:t>Ślipiński</w:t>
      </w:r>
      <w:proofErr w:type="spellEnd"/>
      <w:r w:rsidRPr="006B3029">
        <w:rPr>
          <w:sz w:val="24"/>
        </w:rPr>
        <w:t xml:space="preserve"> P., Nicoară R., Czechowski W.</w:t>
      </w:r>
      <w:r w:rsidRPr="006B3029">
        <w:rPr>
          <w:smallCaps/>
          <w:sz w:val="24"/>
        </w:rPr>
        <w:t xml:space="preserve"> (2020): </w:t>
      </w:r>
      <w:r w:rsidRPr="006B3029">
        <w:rPr>
          <w:sz w:val="24"/>
        </w:rPr>
        <w:t xml:space="preserve">Competitive pressure by territorials promotes utilization of unusual food source by subordinate ants in temperate European woodlands. </w:t>
      </w:r>
      <w:r w:rsidRPr="006B3029">
        <w:rPr>
          <w:i/>
          <w:iCs/>
          <w:sz w:val="24"/>
        </w:rPr>
        <w:t>Ethology, Ecology &amp; Evolution</w:t>
      </w:r>
      <w:r w:rsidRPr="006B3029">
        <w:rPr>
          <w:sz w:val="24"/>
        </w:rPr>
        <w:t xml:space="preserve"> 32(5): 457–465. </w:t>
      </w:r>
      <w:r w:rsidRPr="006B3029">
        <w:rPr>
          <w:rFonts w:eastAsia="Lucida Sans Unicode"/>
          <w:color w:val="000000"/>
          <w:kern w:val="3"/>
          <w:sz w:val="24"/>
          <w:lang w:val="en-US" w:eastAsia="zh-CN" w:bidi="hi-IN"/>
        </w:rPr>
        <w:t>https://doi.org/10.1080/03949370.2020.1753116</w:t>
      </w:r>
      <w:r w:rsidRPr="006B3029">
        <w:rPr>
          <w:sz w:val="24"/>
        </w:rPr>
        <w:t xml:space="preserve">. </w:t>
      </w:r>
      <w:r w:rsidRPr="006B3029">
        <w:rPr>
          <w:b/>
          <w:sz w:val="24"/>
        </w:rPr>
        <w:t>IF: 1.022</w:t>
      </w:r>
      <w:r w:rsidRPr="006B3029">
        <w:rPr>
          <w:sz w:val="24"/>
        </w:rPr>
        <w:t xml:space="preserve"> (</w:t>
      </w:r>
      <w:r w:rsidRPr="006B3029">
        <w:rPr>
          <w:i/>
          <w:sz w:val="24"/>
        </w:rPr>
        <w:t>2019</w:t>
      </w:r>
      <w:r w:rsidRPr="006B3029">
        <w:rPr>
          <w:sz w:val="24"/>
        </w:rPr>
        <w:t>)</w:t>
      </w:r>
    </w:p>
    <w:p w14:paraId="7D6BFD0C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szCs w:val="24"/>
          <w:shd w:val="clear" w:color="auto" w:fill="FFFFFF"/>
        </w:rPr>
        <w:t>Fiera C., Ulrich W., Popescu D., Bunea C-I.,</w:t>
      </w:r>
      <w:r w:rsidRPr="006B3029">
        <w:rPr>
          <w:szCs w:val="24"/>
        </w:rPr>
        <w:t xml:space="preserve"> </w:t>
      </w:r>
      <w:r w:rsidRPr="006B3029">
        <w:rPr>
          <w:szCs w:val="24"/>
          <w:shd w:val="clear" w:color="auto" w:fill="FFFFFF"/>
        </w:rPr>
        <w:t xml:space="preserve">Manu M., Nae I., Stan M., </w:t>
      </w:r>
      <w:r w:rsidRPr="006B3029">
        <w:rPr>
          <w:b/>
          <w:szCs w:val="24"/>
          <w:shd w:val="clear" w:color="auto" w:fill="FFFFFF"/>
        </w:rPr>
        <w:t>Markó B.</w:t>
      </w:r>
      <w:r w:rsidRPr="006B3029">
        <w:rPr>
          <w:szCs w:val="24"/>
          <w:shd w:val="clear" w:color="auto" w:fill="FFFFFF"/>
        </w:rPr>
        <w:t>, Urák I., Giurginca A., Penke N., Winter S., Kratschmer S., Buchholz J.,</w:t>
      </w:r>
      <w:r w:rsidRPr="006B3029">
        <w:rPr>
          <w:szCs w:val="24"/>
        </w:rPr>
        <w:t xml:space="preserve"> </w:t>
      </w:r>
      <w:r w:rsidRPr="006B3029">
        <w:rPr>
          <w:szCs w:val="24"/>
          <w:shd w:val="clear" w:color="auto" w:fill="FFFFFF"/>
        </w:rPr>
        <w:t>Querner P., Zaller J. (2</w:t>
      </w:r>
      <w:r w:rsidRPr="006B3029">
        <w:rPr>
          <w:szCs w:val="24"/>
          <w:shd w:val="clear" w:color="auto" w:fill="FFFFFF"/>
          <w:lang w:val="ro-RO"/>
        </w:rPr>
        <w:t>020</w:t>
      </w:r>
      <w:r w:rsidRPr="006B3029">
        <w:rPr>
          <w:szCs w:val="24"/>
          <w:shd w:val="clear" w:color="auto" w:fill="FFFFFF"/>
          <w:lang w:val="es-ES"/>
        </w:rPr>
        <w:t xml:space="preserve">): </w:t>
      </w:r>
      <w:r w:rsidRPr="006B3029">
        <w:rPr>
          <w:szCs w:val="24"/>
        </w:rPr>
        <w:t xml:space="preserve">Effects of vineyard inter-row management on the diversity and abundance of plants and surface-dwelling invertebrates in Central Romania. </w:t>
      </w:r>
      <w:r w:rsidRPr="006B3029">
        <w:rPr>
          <w:i/>
          <w:szCs w:val="24"/>
        </w:rPr>
        <w:t>Journal of Insect Conservation</w:t>
      </w:r>
      <w:r w:rsidRPr="006B3029">
        <w:rPr>
          <w:szCs w:val="24"/>
        </w:rPr>
        <w:t xml:space="preserve"> 24: 175–185, </w:t>
      </w:r>
      <w:r w:rsidRPr="006B3029">
        <w:rPr>
          <w:szCs w:val="24"/>
          <w:shd w:val="clear" w:color="auto" w:fill="FCFCFC"/>
        </w:rPr>
        <w:t>https://doi.org/10.1007/s10841-019-00215-0</w:t>
      </w:r>
      <w:r w:rsidRPr="006B3029">
        <w:rPr>
          <w:szCs w:val="24"/>
        </w:rPr>
        <w:t xml:space="preserve">. </w:t>
      </w:r>
      <w:r w:rsidRPr="006B3029">
        <w:rPr>
          <w:b/>
          <w:szCs w:val="24"/>
        </w:rPr>
        <w:t>IF: 1.553</w:t>
      </w:r>
      <w:r w:rsidRPr="006B3029">
        <w:rPr>
          <w:szCs w:val="24"/>
        </w:rPr>
        <w:t xml:space="preserve"> (</w:t>
      </w:r>
      <w:r w:rsidRPr="006B3029">
        <w:rPr>
          <w:i/>
          <w:szCs w:val="24"/>
        </w:rPr>
        <w:t>2</w:t>
      </w:r>
      <w:r w:rsidRPr="006B3029">
        <w:rPr>
          <w:i/>
          <w:szCs w:val="24"/>
          <w:lang w:val="ro-RO"/>
        </w:rPr>
        <w:t>019</w:t>
      </w:r>
      <w:r w:rsidRPr="006B3029">
        <w:rPr>
          <w:szCs w:val="24"/>
          <w:lang w:val="ro-RO"/>
        </w:rPr>
        <w:t>).</w:t>
      </w:r>
    </w:p>
    <w:p w14:paraId="32D7A0CF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szCs w:val="24"/>
          <w:lang w:val="ro-RO"/>
        </w:rPr>
        <w:t xml:space="preserve">Csata, E., Billen, J., Bernadou, A., Heinze, J., </w:t>
      </w:r>
      <w:r w:rsidRPr="006B3029">
        <w:rPr>
          <w:b/>
          <w:szCs w:val="24"/>
          <w:lang w:val="ro-RO"/>
        </w:rPr>
        <w:t>Markó, B.</w:t>
      </w:r>
      <w:r w:rsidRPr="006B3029">
        <w:rPr>
          <w:szCs w:val="24"/>
          <w:lang w:val="ro-RO"/>
        </w:rPr>
        <w:t xml:space="preserve"> (2018): Infection-related variation in cuticle thickness in the ant </w:t>
      </w:r>
      <w:r w:rsidRPr="006B3029">
        <w:rPr>
          <w:i/>
          <w:szCs w:val="24"/>
          <w:lang w:val="ro-RO"/>
        </w:rPr>
        <w:t>Myrmica scabrinodis</w:t>
      </w:r>
      <w:r w:rsidRPr="006B3029">
        <w:rPr>
          <w:szCs w:val="24"/>
          <w:lang w:val="ro-RO"/>
        </w:rPr>
        <w:t xml:space="preserve"> (Hymenoptera: Formicidae). Insectes Sociaux </w:t>
      </w:r>
      <w:r w:rsidRPr="006B3029">
        <w:rPr>
          <w:szCs w:val="24"/>
          <w:lang w:val="en-US"/>
        </w:rPr>
        <w:t xml:space="preserve">65(3): 503–506, </w:t>
      </w:r>
      <w:r w:rsidRPr="006B3029">
        <w:rPr>
          <w:rFonts w:eastAsia="Lucida Sans Unicode"/>
          <w:color w:val="000000"/>
          <w:szCs w:val="24"/>
          <w:lang w:val="en-US"/>
        </w:rPr>
        <w:t>https://doi.org/10.1007/s00040-018-0628-5</w:t>
      </w:r>
      <w:r w:rsidRPr="006B3029">
        <w:rPr>
          <w:szCs w:val="24"/>
          <w:lang w:val="en-US"/>
        </w:rPr>
        <w:t xml:space="preserve"> </w:t>
      </w:r>
      <w:r w:rsidRPr="006B3029">
        <w:rPr>
          <w:b/>
          <w:szCs w:val="24"/>
          <w:lang w:val="en-US"/>
        </w:rPr>
        <w:t>IF: 1.675</w:t>
      </w:r>
      <w:r w:rsidRPr="006B3029">
        <w:rPr>
          <w:szCs w:val="24"/>
          <w:lang w:val="en-US"/>
        </w:rPr>
        <w:t xml:space="preserve"> (</w:t>
      </w:r>
      <w:r w:rsidRPr="006B3029">
        <w:rPr>
          <w:i/>
          <w:szCs w:val="24"/>
          <w:lang w:val="en-US"/>
        </w:rPr>
        <w:t>2017</w:t>
      </w:r>
      <w:r w:rsidRPr="006B3029">
        <w:rPr>
          <w:szCs w:val="24"/>
          <w:lang w:val="en-US"/>
        </w:rPr>
        <w:t>)</w:t>
      </w:r>
    </w:p>
    <w:p w14:paraId="1540EAF6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szCs w:val="24"/>
          <w:lang w:val="ro-RO"/>
        </w:rPr>
        <w:t xml:space="preserve">Steiner, F.M., Csősz, S., </w:t>
      </w:r>
      <w:r w:rsidRPr="006B3029">
        <w:rPr>
          <w:b/>
          <w:szCs w:val="24"/>
          <w:lang w:val="ro-RO"/>
        </w:rPr>
        <w:t>Markó, B.</w:t>
      </w:r>
      <w:r w:rsidRPr="006B3029">
        <w:rPr>
          <w:szCs w:val="24"/>
          <w:lang w:val="ro-RO"/>
        </w:rPr>
        <w:t>, Gamisch, A., Rinnhofer, L., Folterbauer, C., Hammerle, S., Stauffer, C., Arthofer, W., Schlick-Steiner, B.C.</w:t>
      </w:r>
      <w:r w:rsidRPr="006B3029">
        <w:rPr>
          <w:szCs w:val="24"/>
          <w:vertAlign w:val="superscript"/>
          <w:lang w:val="ro-RO"/>
        </w:rPr>
        <w:t xml:space="preserve"> </w:t>
      </w:r>
      <w:r w:rsidRPr="006B3029">
        <w:rPr>
          <w:szCs w:val="24"/>
          <w:lang w:val="ro-RO"/>
        </w:rPr>
        <w:t xml:space="preserve">(2018): Turning one into five: integrative taxonomy uncovers complex evolution of cryptic species in the harvester ant </w:t>
      </w:r>
      <w:r w:rsidRPr="006B3029">
        <w:rPr>
          <w:i/>
          <w:szCs w:val="24"/>
          <w:lang w:val="ro-RO"/>
        </w:rPr>
        <w:t xml:space="preserve">Messor </w:t>
      </w:r>
      <w:r w:rsidRPr="006B3029">
        <w:rPr>
          <w:szCs w:val="24"/>
          <w:lang w:val="ro-RO"/>
        </w:rPr>
        <w:t>“</w:t>
      </w:r>
      <w:r w:rsidRPr="006B3029">
        <w:rPr>
          <w:i/>
          <w:szCs w:val="24"/>
          <w:lang w:val="ro-RO"/>
        </w:rPr>
        <w:t>structor</w:t>
      </w:r>
      <w:r w:rsidRPr="006B3029">
        <w:rPr>
          <w:szCs w:val="24"/>
          <w:lang w:val="ro-RO"/>
        </w:rPr>
        <w:t xml:space="preserve">”. </w:t>
      </w:r>
      <w:r w:rsidRPr="006B3029">
        <w:rPr>
          <w:i/>
          <w:szCs w:val="24"/>
          <w:lang w:val="ro-RO"/>
        </w:rPr>
        <w:t xml:space="preserve">Molecular Phylogenetics and Evolution </w:t>
      </w:r>
      <w:r w:rsidRPr="006B3029">
        <w:rPr>
          <w:szCs w:val="24"/>
          <w:lang w:val="en-US"/>
        </w:rPr>
        <w:t xml:space="preserve">127: 387–404. </w:t>
      </w:r>
      <w:r w:rsidRPr="006B3029">
        <w:rPr>
          <w:b/>
          <w:szCs w:val="24"/>
          <w:lang w:val="en-US"/>
        </w:rPr>
        <w:t>IF: 4.412</w:t>
      </w:r>
      <w:r w:rsidRPr="006B3029">
        <w:rPr>
          <w:szCs w:val="24"/>
          <w:lang w:val="en-US"/>
        </w:rPr>
        <w:t xml:space="preserve"> (</w:t>
      </w:r>
      <w:r w:rsidRPr="006B3029">
        <w:rPr>
          <w:i/>
          <w:szCs w:val="24"/>
          <w:lang w:val="en-US"/>
        </w:rPr>
        <w:t>2017</w:t>
      </w:r>
      <w:r w:rsidRPr="006B3029">
        <w:rPr>
          <w:szCs w:val="24"/>
          <w:lang w:val="en-US"/>
        </w:rPr>
        <w:t>)</w:t>
      </w:r>
    </w:p>
    <w:p w14:paraId="768296F6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szCs w:val="24"/>
          <w:lang w:val="ro-RO"/>
        </w:rPr>
        <w:t xml:space="preserve">Ślipiński, P., </w:t>
      </w:r>
      <w:r w:rsidRPr="006B3029">
        <w:rPr>
          <w:b/>
          <w:szCs w:val="24"/>
          <w:lang w:val="ro-RO"/>
        </w:rPr>
        <w:t>Markó, B.</w:t>
      </w:r>
      <w:r w:rsidRPr="006B3029">
        <w:rPr>
          <w:szCs w:val="24"/>
          <w:lang w:val="ro-RO"/>
        </w:rPr>
        <w:t xml:space="preserve">, Włodarczyk, T., Czechowski, W. (2018): The foraging strategy of Formica sanguinea (Hymenoptera: Formicidae), a facultative slave-maker. </w:t>
      </w:r>
      <w:r w:rsidRPr="006B3029">
        <w:rPr>
          <w:i/>
          <w:szCs w:val="24"/>
          <w:lang w:val="ro-RO"/>
        </w:rPr>
        <w:t>Myrmecological</w:t>
      </w:r>
      <w:r w:rsidRPr="006B3029">
        <w:rPr>
          <w:szCs w:val="24"/>
          <w:lang w:val="ro-RO"/>
        </w:rPr>
        <w:t xml:space="preserve"> </w:t>
      </w:r>
      <w:r w:rsidRPr="006B3029">
        <w:rPr>
          <w:i/>
          <w:szCs w:val="24"/>
          <w:lang w:val="ro-RO"/>
        </w:rPr>
        <w:t>News</w:t>
      </w:r>
      <w:r w:rsidRPr="006B3029">
        <w:rPr>
          <w:szCs w:val="24"/>
          <w:lang w:val="ro-RO"/>
        </w:rPr>
        <w:t xml:space="preserve"> 26: 55–64. </w:t>
      </w:r>
      <w:r w:rsidRPr="006B3029">
        <w:rPr>
          <w:b/>
          <w:szCs w:val="24"/>
        </w:rPr>
        <w:t>IF: 1.838</w:t>
      </w:r>
      <w:r w:rsidRPr="006B3029">
        <w:rPr>
          <w:szCs w:val="24"/>
        </w:rPr>
        <w:t xml:space="preserve"> (</w:t>
      </w:r>
      <w:r w:rsidRPr="006B3029">
        <w:rPr>
          <w:i/>
          <w:szCs w:val="24"/>
        </w:rPr>
        <w:t>2017</w:t>
      </w:r>
      <w:r w:rsidRPr="006B3029">
        <w:rPr>
          <w:szCs w:val="24"/>
        </w:rPr>
        <w:t>)</w:t>
      </w:r>
    </w:p>
    <w:p w14:paraId="0AE65308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szCs w:val="24"/>
          <w:lang w:val="ro-RO"/>
        </w:rPr>
        <w:t>Csata, E.,</w:t>
      </w:r>
      <w:r w:rsidRPr="006B3029">
        <w:rPr>
          <w:szCs w:val="24"/>
          <w:vertAlign w:val="superscript"/>
          <w:lang w:val="ro-RO"/>
        </w:rPr>
        <w:t xml:space="preserve"> </w:t>
      </w:r>
      <w:r w:rsidRPr="006B3029">
        <w:rPr>
          <w:szCs w:val="24"/>
          <w:lang w:val="ro-RO"/>
        </w:rPr>
        <w:t xml:space="preserve">Timuș, N., Witek, M., Casacci, L.P., Lucas, C., Bagnères, A.-G., Sztencel-Jabłonka, A. Barbero, F., Bonelli, S., Rákosy, L., </w:t>
      </w:r>
      <w:r w:rsidRPr="006B3029">
        <w:rPr>
          <w:b/>
          <w:szCs w:val="24"/>
          <w:lang w:val="ro-RO"/>
        </w:rPr>
        <w:t>Markó, B.</w:t>
      </w:r>
      <w:r w:rsidRPr="006B3029">
        <w:rPr>
          <w:szCs w:val="24"/>
          <w:lang w:val="ro-RO"/>
        </w:rPr>
        <w:t xml:space="preserve"> (2017): Lock-picks: fungal infection facilitates the intrusion of strangers into ant colonies. </w:t>
      </w:r>
      <w:r w:rsidRPr="006B3029">
        <w:rPr>
          <w:i/>
          <w:szCs w:val="24"/>
          <w:lang w:val="ro-RO"/>
        </w:rPr>
        <w:t>Scientific Reports</w:t>
      </w:r>
      <w:r w:rsidRPr="006B3029">
        <w:rPr>
          <w:szCs w:val="24"/>
          <w:lang w:val="ro-RO"/>
        </w:rPr>
        <w:t xml:space="preserve"> 7: 46323, </w:t>
      </w:r>
      <w:r w:rsidRPr="006B3029">
        <w:rPr>
          <w:rStyle w:val="fontstyle01"/>
          <w:szCs w:val="24"/>
          <w:lang w:val="ro-RO"/>
        </w:rPr>
        <w:t>DOI: 10.1038/srep46323</w:t>
      </w:r>
      <w:r w:rsidRPr="006B3029">
        <w:rPr>
          <w:szCs w:val="24"/>
          <w:lang w:val="ro-RO"/>
        </w:rPr>
        <w:t xml:space="preserve">. </w:t>
      </w:r>
      <w:r w:rsidRPr="006B3029">
        <w:rPr>
          <w:b/>
          <w:szCs w:val="24"/>
          <w:lang w:val="ro-RO"/>
        </w:rPr>
        <w:t>IF: 4.122</w:t>
      </w:r>
    </w:p>
    <w:p w14:paraId="410C1087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szCs w:val="24"/>
          <w:lang w:val="ro-RO"/>
        </w:rPr>
        <w:t xml:space="preserve">Tăușan, I., Dauber, J., Trică, M.R., </w:t>
      </w:r>
      <w:r w:rsidRPr="006B3029">
        <w:rPr>
          <w:b/>
          <w:szCs w:val="24"/>
          <w:lang w:val="ro-RO"/>
        </w:rPr>
        <w:t>Markó, B.</w:t>
      </w:r>
      <w:r w:rsidRPr="006B3029">
        <w:rPr>
          <w:szCs w:val="24"/>
          <w:lang w:val="ro-RO"/>
        </w:rPr>
        <w:t xml:space="preserve"> (2017): Succession in ant communities (Hymenoptera: Formicidae) in deciduous forest clear-cuts – an Eastern European case study. </w:t>
      </w:r>
      <w:r w:rsidRPr="006B3029">
        <w:rPr>
          <w:i/>
          <w:szCs w:val="24"/>
          <w:lang w:val="ro-RO"/>
        </w:rPr>
        <w:t>European Journal of Entomology</w:t>
      </w:r>
      <w:r w:rsidRPr="006B3029">
        <w:rPr>
          <w:szCs w:val="24"/>
          <w:lang w:val="ro-RO"/>
        </w:rPr>
        <w:t xml:space="preserve"> 114: 92–100. </w:t>
      </w:r>
      <w:r w:rsidRPr="006B3029">
        <w:rPr>
          <w:b/>
          <w:szCs w:val="24"/>
          <w:lang w:val="ro-RO"/>
        </w:rPr>
        <w:t>IF: 1.017</w:t>
      </w:r>
      <w:r w:rsidRPr="006B3029">
        <w:rPr>
          <w:szCs w:val="24"/>
          <w:lang w:val="ro-RO"/>
        </w:rPr>
        <w:t>.</w:t>
      </w:r>
    </w:p>
    <w:p w14:paraId="06E2F4D8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bCs/>
          <w:szCs w:val="24"/>
          <w:lang w:val="ro-RO"/>
        </w:rPr>
        <w:t xml:space="preserve">Csata, E., Bernadou, A., Rákosy-Tican, E., Heinze, J., </w:t>
      </w:r>
      <w:r w:rsidRPr="006B3029">
        <w:rPr>
          <w:b/>
          <w:bCs/>
          <w:szCs w:val="24"/>
          <w:lang w:val="ro-RO"/>
        </w:rPr>
        <w:t>Markó, B.</w:t>
      </w:r>
      <w:r w:rsidRPr="006B3029">
        <w:rPr>
          <w:bCs/>
          <w:szCs w:val="24"/>
          <w:lang w:val="ro-RO"/>
        </w:rPr>
        <w:t xml:space="preserve"> (2017): </w:t>
      </w:r>
      <w:r w:rsidRPr="006B3029">
        <w:rPr>
          <w:szCs w:val="24"/>
          <w:lang w:val="ro-RO"/>
        </w:rPr>
        <w:t xml:space="preserve">Age-related effects of fungal infection and physiological condition on the locomotory behavior of the ant </w:t>
      </w:r>
      <w:r w:rsidRPr="006B3029">
        <w:rPr>
          <w:i/>
          <w:iCs/>
          <w:szCs w:val="24"/>
          <w:lang w:val="ro-RO"/>
        </w:rPr>
        <w:t>Myrmica scabrinodis. Journal of Insect Physiology</w:t>
      </w:r>
      <w:r w:rsidRPr="006B3029">
        <w:rPr>
          <w:iCs/>
          <w:szCs w:val="24"/>
          <w:lang w:val="ro-RO"/>
        </w:rPr>
        <w:t xml:space="preserve"> 98: 167–172.</w:t>
      </w:r>
      <w:r w:rsidRPr="006B3029">
        <w:rPr>
          <w:i/>
          <w:szCs w:val="24"/>
          <w:lang w:val="ro-RO"/>
        </w:rPr>
        <w:t xml:space="preserve"> </w:t>
      </w:r>
      <w:r w:rsidRPr="006B3029">
        <w:rPr>
          <w:b/>
          <w:szCs w:val="24"/>
          <w:lang w:val="ro-RO"/>
        </w:rPr>
        <w:t>IF: 2.733</w:t>
      </w:r>
    </w:p>
    <w:p w14:paraId="4BD7C83A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rFonts w:eastAsia="Arial"/>
          <w:color w:val="00000A"/>
          <w:szCs w:val="24"/>
          <w:lang w:val="ro-RO"/>
        </w:rPr>
        <w:t xml:space="preserve">Német, E., Czekes, Zs., </w:t>
      </w:r>
      <w:r w:rsidRPr="006B3029">
        <w:rPr>
          <w:rFonts w:eastAsia="Arial"/>
          <w:b/>
          <w:bCs/>
          <w:color w:val="00000A"/>
          <w:szCs w:val="24"/>
          <w:lang w:val="ro-RO"/>
        </w:rPr>
        <w:t>Markó, B.</w:t>
      </w:r>
      <w:r w:rsidRPr="006B3029">
        <w:rPr>
          <w:rFonts w:eastAsia="Arial"/>
          <w:color w:val="00000A"/>
          <w:szCs w:val="24"/>
          <w:lang w:val="ro-RO"/>
        </w:rPr>
        <w:t>, Rákosy, L. (2016): Host plant preference in the protected myrmecophylous Transylvanian Blue (</w:t>
      </w:r>
      <w:r w:rsidRPr="006B3029">
        <w:rPr>
          <w:rFonts w:eastAsia="Arial"/>
          <w:i/>
          <w:color w:val="00000A"/>
          <w:szCs w:val="24"/>
          <w:lang w:val="ro-RO"/>
        </w:rPr>
        <w:t>Pseudophilotes bavius hungarica</w:t>
      </w:r>
      <w:r w:rsidRPr="006B3029">
        <w:rPr>
          <w:rFonts w:eastAsia="Arial"/>
          <w:color w:val="00000A"/>
          <w:szCs w:val="24"/>
          <w:lang w:val="ro-RO"/>
        </w:rPr>
        <w:t xml:space="preserve">) butterfly (Lepidoptera: Lycaenidae) and its relationship with potential ant partners. </w:t>
      </w:r>
      <w:r w:rsidRPr="006B3029">
        <w:rPr>
          <w:rFonts w:eastAsia="Arial"/>
          <w:i/>
          <w:iCs/>
          <w:color w:val="00000A"/>
          <w:szCs w:val="24"/>
          <w:lang w:val="ro-RO"/>
        </w:rPr>
        <w:t xml:space="preserve">Journal of Insect </w:t>
      </w:r>
      <w:r w:rsidRPr="006B3029">
        <w:rPr>
          <w:rFonts w:eastAsia="Arial"/>
          <w:i/>
          <w:iCs/>
          <w:szCs w:val="24"/>
          <w:lang w:val="ro-RO"/>
        </w:rPr>
        <w:t>Conservation</w:t>
      </w:r>
      <w:r w:rsidRPr="006B3029">
        <w:rPr>
          <w:rFonts w:eastAsia="Arial"/>
          <w:szCs w:val="24"/>
          <w:lang w:val="ro-RO"/>
        </w:rPr>
        <w:t xml:space="preserve"> DOI </w:t>
      </w:r>
      <w:r w:rsidRPr="006B3029">
        <w:rPr>
          <w:szCs w:val="24"/>
          <w:shd w:val="clear" w:color="auto" w:fill="FFFFFF"/>
          <w:lang w:val="ro-RO"/>
        </w:rPr>
        <w:t>10.1007/s10841-016-9907-5</w:t>
      </w:r>
      <w:r w:rsidRPr="006B3029">
        <w:rPr>
          <w:rFonts w:eastAsia="Arial"/>
          <w:color w:val="00000A"/>
          <w:szCs w:val="24"/>
          <w:lang w:val="ro-RO"/>
        </w:rPr>
        <w:t xml:space="preserve">. </w:t>
      </w:r>
      <w:r w:rsidRPr="006B3029">
        <w:rPr>
          <w:rFonts w:eastAsia="Arial"/>
          <w:szCs w:val="24"/>
          <w:lang w:val="ro-RO"/>
        </w:rPr>
        <w:t xml:space="preserve">IF: </w:t>
      </w:r>
      <w:r w:rsidRPr="006B3029">
        <w:rPr>
          <w:rFonts w:eastAsia="Arial"/>
          <w:b/>
          <w:bCs/>
          <w:szCs w:val="24"/>
          <w:lang w:val="ro-RO"/>
        </w:rPr>
        <w:t>1.462</w:t>
      </w:r>
    </w:p>
    <w:p w14:paraId="30293708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rFonts w:eastAsia="Arial"/>
          <w:color w:val="00000A"/>
          <w:szCs w:val="24"/>
          <w:lang w:val="ro-RO"/>
        </w:rPr>
        <w:t xml:space="preserve">Trigos Peral, G., </w:t>
      </w:r>
      <w:r w:rsidRPr="006B3029">
        <w:rPr>
          <w:rFonts w:eastAsia="Arial"/>
          <w:b/>
          <w:bCs/>
          <w:color w:val="00000A"/>
          <w:szCs w:val="24"/>
          <w:lang w:val="ro-RO"/>
        </w:rPr>
        <w:t>Markó, B.</w:t>
      </w:r>
      <w:r w:rsidRPr="006B3029">
        <w:rPr>
          <w:rFonts w:eastAsia="Arial"/>
          <w:color w:val="00000A"/>
          <w:szCs w:val="24"/>
          <w:lang w:val="ro-RO"/>
        </w:rPr>
        <w:t xml:space="preserve">, Babik, H., Tăușan, I., Maák, I., Pálfi, Zs., Ślipiński, P., Czekes, Zs., Czechowski, W. (2016): Differential impact of two dominant </w:t>
      </w:r>
      <w:r w:rsidRPr="006B3029">
        <w:rPr>
          <w:rFonts w:eastAsia="Arial"/>
          <w:i/>
          <w:color w:val="00000A"/>
          <w:szCs w:val="24"/>
          <w:lang w:val="ro-RO"/>
        </w:rPr>
        <w:t>Formica</w:t>
      </w:r>
      <w:r w:rsidRPr="006B3029">
        <w:rPr>
          <w:rFonts w:eastAsia="Arial"/>
          <w:color w:val="00000A"/>
          <w:szCs w:val="24"/>
          <w:lang w:val="ro-RO"/>
        </w:rPr>
        <w:t xml:space="preserve"> ant species (Hymenoptera, Formicidae) on subordinates in temperate Europe. </w:t>
      </w:r>
      <w:r w:rsidRPr="006B3029">
        <w:rPr>
          <w:rFonts w:eastAsia="Arial"/>
          <w:i/>
          <w:iCs/>
          <w:color w:val="00000A"/>
          <w:szCs w:val="24"/>
          <w:lang w:val="ro-RO"/>
        </w:rPr>
        <w:t>Journal</w:t>
      </w:r>
      <w:r w:rsidRPr="006B3029">
        <w:rPr>
          <w:rFonts w:eastAsia="Arial"/>
          <w:color w:val="00000A"/>
          <w:szCs w:val="24"/>
          <w:lang w:val="ro-RO"/>
        </w:rPr>
        <w:t xml:space="preserve"> </w:t>
      </w:r>
      <w:r w:rsidRPr="006B3029">
        <w:rPr>
          <w:rFonts w:eastAsia="Arial"/>
          <w:i/>
          <w:iCs/>
          <w:color w:val="00000A"/>
          <w:szCs w:val="24"/>
          <w:lang w:val="ro-RO"/>
        </w:rPr>
        <w:t>of</w:t>
      </w:r>
      <w:r w:rsidRPr="006B3029">
        <w:rPr>
          <w:rFonts w:eastAsia="Arial"/>
          <w:color w:val="00000A"/>
          <w:szCs w:val="24"/>
          <w:lang w:val="ro-RO"/>
        </w:rPr>
        <w:t xml:space="preserve"> </w:t>
      </w:r>
      <w:r w:rsidRPr="006B3029">
        <w:rPr>
          <w:rFonts w:eastAsia="Arial"/>
          <w:i/>
          <w:iCs/>
          <w:color w:val="00000A"/>
          <w:szCs w:val="24"/>
          <w:lang w:val="ro-RO"/>
        </w:rPr>
        <w:t>Hymenoptera</w:t>
      </w:r>
      <w:r w:rsidRPr="006B3029">
        <w:rPr>
          <w:rFonts w:eastAsia="Arial"/>
          <w:color w:val="00000A"/>
          <w:szCs w:val="24"/>
          <w:lang w:val="ro-RO"/>
        </w:rPr>
        <w:t xml:space="preserve"> </w:t>
      </w:r>
      <w:r w:rsidRPr="006B3029">
        <w:rPr>
          <w:rFonts w:eastAsia="Arial"/>
          <w:i/>
          <w:iCs/>
          <w:color w:val="00000A"/>
          <w:szCs w:val="24"/>
          <w:lang w:val="ro-RO"/>
        </w:rPr>
        <w:t>Research</w:t>
      </w:r>
      <w:r w:rsidRPr="006B3029">
        <w:rPr>
          <w:rFonts w:eastAsia="Arial"/>
          <w:color w:val="00000A"/>
          <w:szCs w:val="24"/>
          <w:lang w:val="ro-RO"/>
        </w:rPr>
        <w:t xml:space="preserve"> 50: 97–116. doi: 10.3897/JHR.50.8301. IF: </w:t>
      </w:r>
      <w:r w:rsidRPr="006B3029">
        <w:rPr>
          <w:rFonts w:eastAsia="Arial"/>
          <w:b/>
          <w:bCs/>
          <w:color w:val="00000A"/>
          <w:szCs w:val="24"/>
          <w:lang w:val="ro-RO"/>
        </w:rPr>
        <w:t>0.793</w:t>
      </w:r>
    </w:p>
    <w:p w14:paraId="3830FF34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rFonts w:eastAsia="Arial"/>
          <w:color w:val="00000A"/>
          <w:szCs w:val="24"/>
          <w:lang w:val="ro-RO"/>
        </w:rPr>
        <w:t xml:space="preserve">Német, E., Ruprecht, E., Gallé, R., </w:t>
      </w:r>
      <w:r w:rsidRPr="006B3029">
        <w:rPr>
          <w:rFonts w:eastAsia="Arial"/>
          <w:b/>
          <w:bCs/>
          <w:color w:val="00000A"/>
          <w:szCs w:val="24"/>
          <w:lang w:val="ro-RO"/>
        </w:rPr>
        <w:t>Markó, B.</w:t>
      </w:r>
      <w:r w:rsidRPr="006B3029">
        <w:rPr>
          <w:rFonts w:eastAsia="Arial"/>
          <w:color w:val="00000A"/>
          <w:szCs w:val="24"/>
          <w:lang w:val="ro-RO"/>
        </w:rPr>
        <w:t xml:space="preserve"> (2016): Abandonment of crop lands leads to different recovery patterns for ant and plant communities in Eastern Europe. </w:t>
      </w:r>
      <w:r w:rsidRPr="006B3029">
        <w:rPr>
          <w:rFonts w:eastAsia="Arial"/>
          <w:i/>
          <w:iCs/>
          <w:color w:val="00000A"/>
          <w:szCs w:val="24"/>
          <w:lang w:val="ro-RO"/>
        </w:rPr>
        <w:t>Community</w:t>
      </w:r>
      <w:r w:rsidRPr="006B3029">
        <w:rPr>
          <w:rFonts w:eastAsia="Arial"/>
          <w:color w:val="00000A"/>
          <w:szCs w:val="24"/>
          <w:lang w:val="ro-RO"/>
        </w:rPr>
        <w:t xml:space="preserve"> </w:t>
      </w:r>
      <w:r w:rsidRPr="006B3029">
        <w:rPr>
          <w:rFonts w:eastAsia="Arial"/>
          <w:i/>
          <w:iCs/>
          <w:color w:val="00000A"/>
          <w:szCs w:val="24"/>
          <w:lang w:val="ro-RO"/>
        </w:rPr>
        <w:t>Ecology</w:t>
      </w:r>
      <w:r w:rsidRPr="006B3029">
        <w:rPr>
          <w:rFonts w:eastAsia="Arial"/>
          <w:color w:val="00000A"/>
          <w:szCs w:val="24"/>
          <w:lang w:val="ro-RO"/>
        </w:rPr>
        <w:t xml:space="preserve"> 17(1): 79–87. </w:t>
      </w:r>
      <w:r w:rsidRPr="006B3029">
        <w:rPr>
          <w:rFonts w:eastAsia="Arial"/>
          <w:szCs w:val="24"/>
          <w:lang w:val="ro-RO"/>
        </w:rPr>
        <w:t xml:space="preserve">http://dx.doi.org/10.1556/168.2016.17.1.10 IF: </w:t>
      </w:r>
      <w:r w:rsidRPr="006B3029">
        <w:rPr>
          <w:rFonts w:eastAsia="Arial"/>
          <w:b/>
          <w:bCs/>
          <w:szCs w:val="24"/>
          <w:lang w:val="ro-RO"/>
        </w:rPr>
        <w:t>0.782</w:t>
      </w:r>
    </w:p>
    <w:p w14:paraId="4ABB4ACD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rFonts w:eastAsia="Arial"/>
          <w:b/>
          <w:bCs/>
          <w:color w:val="00000A"/>
          <w:szCs w:val="24"/>
          <w:lang w:val="ro-RO"/>
        </w:rPr>
        <w:lastRenderedPageBreak/>
        <w:t>Markó, B.</w:t>
      </w:r>
      <w:r w:rsidRPr="006B3029">
        <w:rPr>
          <w:rFonts w:eastAsia="Arial"/>
          <w:color w:val="00000A"/>
          <w:szCs w:val="24"/>
          <w:lang w:val="ro-RO"/>
        </w:rPr>
        <w:t xml:space="preserve">, Csata, E., Erős, K., Német, E., Czekes, Z., Rózsa, L. (2016): Distribution of the myrmecoparasitic fungus </w:t>
      </w:r>
      <w:r w:rsidRPr="006B3029">
        <w:rPr>
          <w:rFonts w:eastAsia="Arial"/>
          <w:i/>
          <w:iCs/>
          <w:color w:val="00000A"/>
          <w:szCs w:val="24"/>
          <w:lang w:val="ro-RO"/>
        </w:rPr>
        <w:t>Rickia</w:t>
      </w:r>
      <w:r w:rsidRPr="006B3029">
        <w:rPr>
          <w:rFonts w:eastAsia="Arial"/>
          <w:color w:val="00000A"/>
          <w:szCs w:val="24"/>
          <w:lang w:val="ro-RO"/>
        </w:rPr>
        <w:t xml:space="preserve"> </w:t>
      </w:r>
      <w:r w:rsidRPr="006B3029">
        <w:rPr>
          <w:rFonts w:eastAsia="Arial"/>
          <w:i/>
          <w:iCs/>
          <w:color w:val="00000A"/>
          <w:szCs w:val="24"/>
          <w:lang w:val="ro-RO"/>
        </w:rPr>
        <w:t>wasmannii</w:t>
      </w:r>
      <w:r w:rsidRPr="006B3029">
        <w:rPr>
          <w:rFonts w:eastAsia="Arial"/>
          <w:color w:val="00000A"/>
          <w:szCs w:val="24"/>
          <w:lang w:val="ro-RO"/>
        </w:rPr>
        <w:t xml:space="preserve"> (Ascomycota: Laboulbeniales) across colonies, individuals, and body parts of </w:t>
      </w:r>
      <w:r w:rsidRPr="006B3029">
        <w:rPr>
          <w:rFonts w:eastAsia="Arial"/>
          <w:i/>
          <w:iCs/>
          <w:color w:val="00000A"/>
          <w:szCs w:val="24"/>
          <w:lang w:val="ro-RO"/>
        </w:rPr>
        <w:t>Myrmica scabrinodis</w:t>
      </w:r>
      <w:r w:rsidRPr="006B3029">
        <w:rPr>
          <w:rFonts w:eastAsia="Arial"/>
          <w:color w:val="00000A"/>
          <w:szCs w:val="24"/>
          <w:lang w:val="ro-RO"/>
        </w:rPr>
        <w:t xml:space="preserve">. </w:t>
      </w:r>
      <w:r w:rsidRPr="006B3029">
        <w:rPr>
          <w:rFonts w:eastAsia="Arial"/>
          <w:i/>
          <w:iCs/>
          <w:color w:val="00000A"/>
          <w:szCs w:val="24"/>
          <w:lang w:val="ro-RO"/>
        </w:rPr>
        <w:t>Journal of Invertebrate Pathology</w:t>
      </w:r>
      <w:r w:rsidRPr="006B3029">
        <w:rPr>
          <w:rFonts w:eastAsia="Arial"/>
          <w:color w:val="00000A"/>
          <w:szCs w:val="24"/>
          <w:lang w:val="ro-RO"/>
        </w:rPr>
        <w:t xml:space="preserve"> 136: 74</w:t>
      </w:r>
      <w:r w:rsidRPr="006B3029">
        <w:rPr>
          <w:rFonts w:eastAsia="Arial"/>
          <w:szCs w:val="24"/>
          <w:lang w:val="ro-RO"/>
        </w:rPr>
        <w:t>–80. doi: 10.1016/j.jip.2016.03.008. IF:</w:t>
      </w:r>
      <w:r w:rsidRPr="006B3029">
        <w:rPr>
          <w:rFonts w:eastAsia="Arial"/>
          <w:b/>
          <w:bCs/>
          <w:szCs w:val="24"/>
          <w:lang w:val="ro-RO"/>
        </w:rPr>
        <w:t xml:space="preserve"> 2.379</w:t>
      </w:r>
    </w:p>
    <w:p w14:paraId="0E317D4E" w14:textId="77777777" w:rsidR="003F39B5" w:rsidRPr="006B3029" w:rsidRDefault="003F39B5" w:rsidP="003F39B5">
      <w:pPr>
        <w:pStyle w:val="Standard"/>
        <w:numPr>
          <w:ilvl w:val="0"/>
          <w:numId w:val="2"/>
        </w:numPr>
        <w:ind w:hanging="720"/>
        <w:contextualSpacing/>
        <w:jc w:val="both"/>
        <w:rPr>
          <w:szCs w:val="24"/>
        </w:rPr>
      </w:pPr>
      <w:r w:rsidRPr="006B3029">
        <w:rPr>
          <w:szCs w:val="24"/>
          <w:lang w:val="ro-RO"/>
        </w:rPr>
        <w:t xml:space="preserve">Osváth-Ferencz, M., Czekes, Z., Molnár, Gy., </w:t>
      </w:r>
      <w:r w:rsidRPr="006B3029">
        <w:rPr>
          <w:b/>
          <w:bCs/>
          <w:szCs w:val="24"/>
          <w:lang w:val="ro-RO"/>
        </w:rPr>
        <w:t>Markó, B.</w:t>
      </w:r>
      <w:r w:rsidRPr="006B3029">
        <w:rPr>
          <w:szCs w:val="24"/>
          <w:lang w:val="ro-RO"/>
        </w:rPr>
        <w:t>, Vizauer, T-C., Rákosy, L., Nowicki, P. (2016): Adult population ecology and egg laying strategy in the ʻ</w:t>
      </w:r>
      <w:r w:rsidRPr="006B3029">
        <w:rPr>
          <w:i/>
          <w:szCs w:val="24"/>
          <w:lang w:val="ro-RO"/>
        </w:rPr>
        <w:t>cruciata</w:t>
      </w:r>
      <w:r w:rsidRPr="006B3029">
        <w:rPr>
          <w:szCs w:val="24"/>
          <w:lang w:val="ro-RO"/>
        </w:rPr>
        <w:t xml:space="preserve">ʼ ecotype of the endangered butterfly </w:t>
      </w:r>
      <w:r w:rsidRPr="006B3029">
        <w:rPr>
          <w:i/>
          <w:szCs w:val="24"/>
          <w:lang w:val="ro-RO"/>
        </w:rPr>
        <w:t>Maculinea alcon</w:t>
      </w:r>
      <w:r w:rsidRPr="006B3029">
        <w:rPr>
          <w:szCs w:val="24"/>
          <w:lang w:val="ro-RO"/>
        </w:rPr>
        <w:t xml:space="preserve"> (Lepidoptera: Lycaenidae). </w:t>
      </w:r>
      <w:r w:rsidRPr="006B3029">
        <w:rPr>
          <w:i/>
          <w:iCs/>
          <w:szCs w:val="24"/>
          <w:lang w:val="ro-RO"/>
        </w:rPr>
        <w:t>Journal of Insect Conservation</w:t>
      </w:r>
      <w:r w:rsidRPr="006B3029">
        <w:rPr>
          <w:szCs w:val="24"/>
          <w:lang w:val="ro-RO"/>
        </w:rPr>
        <w:t xml:space="preserve"> 20: 255–264. doi 10.1007/s10841-016-9858-x. </w:t>
      </w:r>
      <w:r w:rsidRPr="006B3029">
        <w:rPr>
          <w:b/>
          <w:szCs w:val="24"/>
          <w:lang w:val="ro-RO"/>
        </w:rPr>
        <w:t>IF:</w:t>
      </w:r>
      <w:r w:rsidRPr="006B3029">
        <w:rPr>
          <w:szCs w:val="24"/>
          <w:lang w:val="ro-RO"/>
        </w:rPr>
        <w:t xml:space="preserve"> </w:t>
      </w:r>
      <w:r w:rsidRPr="006B3029">
        <w:rPr>
          <w:b/>
          <w:bCs/>
          <w:szCs w:val="24"/>
          <w:lang w:val="ro-RO"/>
        </w:rPr>
        <w:t>1.462</w:t>
      </w:r>
    </w:p>
    <w:p w14:paraId="1BA0E338" w14:textId="77777777" w:rsidR="003F39B5" w:rsidRPr="006B3029" w:rsidRDefault="003F39B5" w:rsidP="003F39B5">
      <w:pPr>
        <w:ind w:left="720" w:hanging="720"/>
        <w:contextualSpacing/>
        <w:jc w:val="both"/>
        <w:rPr>
          <w:rFonts w:eastAsia="Calibri"/>
          <w:color w:val="000000"/>
          <w:lang w:val="ro-RO"/>
        </w:rPr>
      </w:pPr>
    </w:p>
    <w:p w14:paraId="06399292" w14:textId="77777777" w:rsidR="003F39B5" w:rsidRPr="006B3029" w:rsidRDefault="003F39B5" w:rsidP="003F39B5">
      <w:pPr>
        <w:numPr>
          <w:ilvl w:val="0"/>
          <w:numId w:val="1"/>
        </w:numPr>
        <w:suppressAutoHyphens/>
        <w:ind w:left="720" w:hanging="720"/>
        <w:contextualSpacing/>
        <w:jc w:val="both"/>
        <w:rPr>
          <w:lang w:val="ro-RO"/>
        </w:rPr>
      </w:pPr>
      <w:r w:rsidRPr="006B3029">
        <w:rPr>
          <w:b/>
          <w:color w:val="000000"/>
          <w:lang w:val="ro-RO"/>
        </w:rPr>
        <w:t xml:space="preserve">Lucrări publicate în ultimii 10 anii în reviste și  volume de conferințe cu referenți   </w:t>
      </w:r>
      <w:r w:rsidRPr="006B3029">
        <w:rPr>
          <w:b/>
          <w:color w:val="000000"/>
          <w:lang w:val="ro-RO"/>
        </w:rPr>
        <w:tab/>
        <w:t>(neindexate)</w:t>
      </w:r>
    </w:p>
    <w:p w14:paraId="69B8997E" w14:textId="77777777" w:rsidR="003F39B5" w:rsidRPr="006B3029" w:rsidRDefault="003F39B5" w:rsidP="003F39B5">
      <w:pPr>
        <w:numPr>
          <w:ilvl w:val="1"/>
          <w:numId w:val="3"/>
        </w:numPr>
        <w:suppressAutoHyphens/>
        <w:ind w:left="720" w:hanging="720"/>
        <w:contextualSpacing/>
        <w:jc w:val="both"/>
      </w:pPr>
      <w:r w:rsidRPr="006B3029">
        <w:rPr>
          <w:b/>
          <w:color w:val="000000"/>
          <w:lang w:val="ro-RO"/>
        </w:rPr>
        <w:t>Reviste</w:t>
      </w:r>
    </w:p>
    <w:p w14:paraId="69E5684A" w14:textId="77777777" w:rsidR="003F39B5" w:rsidRPr="006B3029" w:rsidRDefault="003F39B5" w:rsidP="003F39B5">
      <w:pPr>
        <w:numPr>
          <w:ilvl w:val="1"/>
          <w:numId w:val="3"/>
        </w:numPr>
        <w:suppressAutoHyphens/>
        <w:ind w:left="720" w:hanging="720"/>
        <w:contextualSpacing/>
        <w:jc w:val="both"/>
      </w:pPr>
      <w:r w:rsidRPr="006B3029">
        <w:rPr>
          <w:b/>
          <w:color w:val="000000"/>
          <w:lang w:val="ro-RO"/>
        </w:rPr>
        <w:t xml:space="preserve">Capitole de cărți </w:t>
      </w:r>
    </w:p>
    <w:p w14:paraId="20DEBFD8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1C727698" w14:textId="77777777" w:rsidR="003F39B5" w:rsidRPr="006B3029" w:rsidRDefault="003F39B5" w:rsidP="003F39B5">
      <w:pPr>
        <w:numPr>
          <w:ilvl w:val="0"/>
          <w:numId w:val="1"/>
        </w:numPr>
        <w:suppressAutoHyphens/>
        <w:ind w:left="720" w:hanging="720"/>
        <w:contextualSpacing/>
      </w:pPr>
      <w:r w:rsidRPr="006B3029">
        <w:rPr>
          <w:b/>
          <w:color w:val="000000"/>
          <w:lang w:val="ro-RO"/>
        </w:rPr>
        <w:t xml:space="preserve">Brevete obținute în întreaga activitate </w:t>
      </w:r>
    </w:p>
    <w:p w14:paraId="6E3C76BD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20A4227A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53CB78DD" w14:textId="77777777" w:rsidR="003F39B5" w:rsidRPr="006B3029" w:rsidRDefault="003F39B5" w:rsidP="003F39B5">
      <w:pPr>
        <w:ind w:left="720" w:hanging="720"/>
        <w:contextualSpacing/>
        <w:rPr>
          <w:rFonts w:eastAsia="Calibri"/>
          <w:color w:val="000000"/>
          <w:lang w:val="ro-RO"/>
        </w:rPr>
      </w:pPr>
    </w:p>
    <w:p w14:paraId="3FE88842" w14:textId="77777777" w:rsidR="003F39B5" w:rsidRPr="006B3029" w:rsidRDefault="003F39B5" w:rsidP="003F39B5">
      <w:pPr>
        <w:tabs>
          <w:tab w:val="center" w:pos="1003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58"/>
        </w:tabs>
        <w:ind w:left="720" w:hanging="720"/>
        <w:contextualSpacing/>
      </w:pPr>
      <w:r w:rsidRPr="006B3029">
        <w:rPr>
          <w:b/>
          <w:color w:val="000000"/>
          <w:lang w:val="ro-RO"/>
        </w:rPr>
        <w:t>Data:</w:t>
      </w:r>
    </w:p>
    <w:p w14:paraId="56C01AE0" w14:textId="77777777" w:rsidR="003F39B5" w:rsidRPr="006B3029" w:rsidRDefault="003F39B5" w:rsidP="003F39B5">
      <w:pPr>
        <w:ind w:left="720" w:hanging="720"/>
        <w:contextualSpacing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9.11.2025</w:t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  <w:t>Semnătura:</w:t>
      </w:r>
    </w:p>
    <w:p w14:paraId="22D3E77B" w14:textId="193B5840" w:rsidR="003F39B5" w:rsidRPr="006B3029" w:rsidRDefault="003F39B5" w:rsidP="003F39B5">
      <w:pPr>
        <w:ind w:left="720" w:hanging="720"/>
        <w:contextualSpacing/>
        <w:rPr>
          <w:b/>
          <w:color w:val="000000"/>
          <w:lang w:val="hu-HU"/>
        </w:rPr>
      </w:pP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</w:r>
      <w:r w:rsidRPr="006B3029">
        <w:rPr>
          <w:b/>
          <w:color w:val="000000"/>
          <w:lang w:val="ro-RO"/>
        </w:rPr>
        <w:tab/>
        <w:t>Prof. univ. dr. Mar</w:t>
      </w:r>
      <w:r w:rsidRPr="006B3029">
        <w:rPr>
          <w:b/>
          <w:color w:val="000000"/>
          <w:lang w:val="hu-HU"/>
        </w:rPr>
        <w:t>kó</w:t>
      </w:r>
      <w:r>
        <w:rPr>
          <w:b/>
          <w:color w:val="000000"/>
          <w:lang w:val="hu-HU"/>
        </w:rPr>
        <w:t xml:space="preserve"> </w:t>
      </w:r>
      <w:r w:rsidRPr="006B3029">
        <w:rPr>
          <w:b/>
          <w:color w:val="000000"/>
          <w:lang w:val="hu-HU"/>
        </w:rPr>
        <w:t>Bálint</w:t>
      </w:r>
    </w:p>
    <w:p w14:paraId="366426F0" w14:textId="14B542A7" w:rsidR="003F39B5" w:rsidRPr="006B3029" w:rsidRDefault="003F39B5" w:rsidP="003F39B5">
      <w:pPr>
        <w:pStyle w:val="NormalWeb"/>
        <w:spacing w:before="0" w:beforeAutospacing="0" w:after="0" w:afterAutospacing="0"/>
        <w:ind w:left="720" w:hanging="720"/>
        <w:contextualSpacing/>
      </w:pPr>
    </w:p>
    <w:p w14:paraId="4BDBE1C9" w14:textId="0F124983" w:rsidR="003F39B5" w:rsidRDefault="003F39B5" w:rsidP="003F39B5"/>
    <w:sectPr w:rsidR="003F3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425"/>
        </w:tabs>
        <w:ind w:left="965" w:firstLine="0"/>
      </w:pPr>
      <w:rPr>
        <w:rFonts w:ascii="Calibri" w:eastAsia="Times New Roman" w:hAnsi="Calibri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1505" w:firstLine="0"/>
      </w:pPr>
    </w:lvl>
    <w:lvl w:ilvl="2">
      <w:start w:val="1"/>
      <w:numFmt w:val="lowerRoman"/>
      <w:lvlText w:val="%3"/>
      <w:lvlJc w:val="left"/>
      <w:pPr>
        <w:tabs>
          <w:tab w:val="num" w:pos="425"/>
        </w:tabs>
        <w:ind w:left="222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425"/>
        </w:tabs>
        <w:ind w:left="294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425"/>
        </w:tabs>
        <w:ind w:left="366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425"/>
        </w:tabs>
        <w:ind w:left="438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425"/>
        </w:tabs>
        <w:ind w:left="510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425"/>
        </w:tabs>
        <w:ind w:left="582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425"/>
        </w:tabs>
        <w:ind w:left="654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bCs/>
        <w:i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81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22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42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2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82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02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2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42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407265943">
    <w:abstractNumId w:val="0"/>
  </w:num>
  <w:num w:numId="2" w16cid:durableId="1336886516">
    <w:abstractNumId w:val="1"/>
  </w:num>
  <w:num w:numId="3" w16cid:durableId="404030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B5"/>
    <w:rsid w:val="003F39B5"/>
    <w:rsid w:val="00572220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6E93"/>
  <w15:chartTrackingRefBased/>
  <w15:docId w15:val="{710A790A-A3B4-430F-983C-475AAA78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B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9B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3F39B5"/>
    <w:rPr>
      <w:rFonts w:ascii="Corbel" w:hAnsi="Corbel" w:cs="Corbel"/>
      <w:b w:val="0"/>
      <w:bCs w:val="0"/>
      <w:i w:val="0"/>
      <w:iCs w:val="0"/>
      <w:color w:val="000000"/>
      <w:sz w:val="16"/>
      <w:szCs w:val="16"/>
    </w:rPr>
  </w:style>
  <w:style w:type="paragraph" w:customStyle="1" w:styleId="Standard">
    <w:name w:val="Standard"/>
    <w:rsid w:val="003F39B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hu-HU" w:eastAsia="zh-CN" w:bidi="hi-IN"/>
      <w14:ligatures w14:val="none"/>
    </w:rPr>
  </w:style>
  <w:style w:type="paragraph" w:customStyle="1" w:styleId="Authornames">
    <w:name w:val="Author names"/>
    <w:basedOn w:val="Normal"/>
    <w:next w:val="Normal"/>
    <w:qFormat/>
    <w:rsid w:val="003F39B5"/>
    <w:pPr>
      <w:spacing w:before="240" w:line="360" w:lineRule="auto"/>
    </w:pPr>
    <w:rPr>
      <w:sz w:val="28"/>
      <w:lang w:val="en-GB" w:eastAsia="en-GB"/>
    </w:rPr>
  </w:style>
  <w:style w:type="character" w:styleId="Hyperlink">
    <w:name w:val="Hyperlink"/>
    <w:uiPriority w:val="99"/>
    <w:rsid w:val="003F39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39B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F39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00040-022-00879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8/s42003-023-04541-7" TargetMode="External"/><Relationship Id="rId5" Type="http://schemas.openxmlformats.org/officeDocument/2006/relationships/hyperlink" Target="https://doi.org/10.3161/15052249PJE2024.72.1.0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6559</Characters>
  <Application>Microsoft Office Word</Application>
  <DocSecurity>0</DocSecurity>
  <Lines>123</Lines>
  <Paragraphs>48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2</cp:revision>
  <dcterms:created xsi:type="dcterms:W3CDTF">2026-01-20T08:32:00Z</dcterms:created>
  <dcterms:modified xsi:type="dcterms:W3CDTF">2026-01-20T08:36:00Z</dcterms:modified>
</cp:coreProperties>
</file>